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9966" w:val="left" w:leader="none"/>
        </w:tabs>
        <w:ind w:left="108"/>
      </w:pPr>
      <w:r>
        <w:rPr/>
        <w:drawing>
          <wp:inline distT="0" distB="0" distL="0" distR="0">
            <wp:extent cx="2283392" cy="798004"/>
            <wp:effectExtent l="0" t="0" r="0" b="0"/>
            <wp:docPr id="1" name="image1.jpeg" descr=""/>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2283392" cy="798004"/>
                    </a:xfrm>
                    <a:prstGeom prst="rect">
                      <a:avLst/>
                    </a:prstGeom>
                  </pic:spPr>
                </pic:pic>
              </a:graphicData>
            </a:graphic>
          </wp:inline>
        </w:drawing>
      </w:r>
      <w:r>
        <w:rPr/>
      </w:r>
      <w:r>
        <w:rPr/>
        <w:tab/>
      </w:r>
      <w:r>
        <w:rPr>
          <w:position w:val="2"/>
        </w:rPr>
        <w:drawing>
          <wp:inline distT="0" distB="0" distL="0" distR="0">
            <wp:extent cx="923011" cy="868679"/>
            <wp:effectExtent l="0" t="0" r="0" b="0"/>
            <wp:docPr id="3" name="image2.jpeg" descr=""/>
            <wp:cNvGraphicFramePr>
              <a:graphicFrameLocks noChangeAspect="1"/>
            </wp:cNvGraphicFramePr>
            <a:graphic>
              <a:graphicData uri="http://schemas.openxmlformats.org/drawingml/2006/picture">
                <pic:pic>
                  <pic:nvPicPr>
                    <pic:cNvPr id="4" name="image2.jpeg"/>
                    <pic:cNvPicPr/>
                  </pic:nvPicPr>
                  <pic:blipFill>
                    <a:blip r:embed="rId6" cstate="print"/>
                    <a:stretch>
                      <a:fillRect/>
                    </a:stretch>
                  </pic:blipFill>
                  <pic:spPr>
                    <a:xfrm>
                      <a:off x="0" y="0"/>
                      <a:ext cx="923011" cy="868679"/>
                    </a:xfrm>
                    <a:prstGeom prst="rect">
                      <a:avLst/>
                    </a:prstGeom>
                  </pic:spPr>
                </pic:pic>
              </a:graphicData>
            </a:graphic>
          </wp:inline>
        </w:drawing>
      </w:r>
      <w:r>
        <w:rPr>
          <w:position w:val="2"/>
        </w:rPr>
      </w:r>
    </w:p>
    <w:p>
      <w:pPr>
        <w:pStyle w:val="BodyText"/>
        <w:spacing w:before="2"/>
        <w:rPr>
          <w:sz w:val="22"/>
        </w:rPr>
      </w:pPr>
    </w:p>
    <w:p>
      <w:pPr>
        <w:spacing w:before="86"/>
        <w:ind w:left="4080" w:right="4023" w:firstLine="0"/>
        <w:jc w:val="center"/>
        <w:rPr>
          <w:b/>
          <w:sz w:val="32"/>
        </w:rPr>
      </w:pPr>
      <w:r>
        <w:rPr>
          <w:b/>
          <w:sz w:val="32"/>
        </w:rPr>
        <w:t>SAFETY DATA SHEET</w:t>
      </w:r>
    </w:p>
    <w:p>
      <w:pPr>
        <w:pStyle w:val="BodyText"/>
        <w:rPr>
          <w:b/>
        </w:rPr>
      </w:pPr>
    </w:p>
    <w:p>
      <w:pPr>
        <w:pStyle w:val="BodyText"/>
        <w:rPr>
          <w:b/>
        </w:rPr>
      </w:pPr>
    </w:p>
    <w:p>
      <w:pPr>
        <w:pStyle w:val="BodyText"/>
        <w:spacing w:before="3"/>
        <w:rPr>
          <w:b/>
          <w:sz w:val="14"/>
        </w:rPr>
      </w:pPr>
    </w:p>
    <w:tbl>
      <w:tblPr>
        <w:tblW w:w="0" w:type="auto"/>
        <w:jc w:val="left"/>
        <w:tblInd w:w="617" w:type="dxa"/>
        <w:tblBorders>
          <w:top w:val="nil"/>
          <w:left w:val="nil"/>
          <w:bottom w:val="nil"/>
          <w:right w:val="nil"/>
          <w:insideH w:val="nil"/>
          <w:insideV w:val="nil"/>
        </w:tblBorders>
        <w:tblLayout w:type="fixed"/>
        <w:tblCellMar>
          <w:top w:w="0" w:type="dxa"/>
          <w:left w:w="0" w:type="dxa"/>
          <w:bottom w:w="0" w:type="dxa"/>
          <w:right w:w="0" w:type="dxa"/>
        </w:tblCellMar>
        <w:tblLook w:val="01E0"/>
      </w:tblPr>
      <w:tblGrid>
        <w:gridCol w:w="1761"/>
        <w:gridCol w:w="4386"/>
        <w:gridCol w:w="1829"/>
        <w:gridCol w:w="1790"/>
      </w:tblGrid>
      <w:tr>
        <w:trPr>
          <w:trHeight w:val="271" w:hRule="exact"/>
        </w:trPr>
        <w:tc>
          <w:tcPr>
            <w:tcW w:w="1761" w:type="dxa"/>
          </w:tcPr>
          <w:p>
            <w:pPr>
              <w:pStyle w:val="TableParagraph"/>
              <w:spacing w:line="221" w:lineRule="exact"/>
              <w:ind w:left="200"/>
              <w:rPr>
                <w:sz w:val="20"/>
              </w:rPr>
            </w:pPr>
            <w:r>
              <w:rPr>
                <w:sz w:val="20"/>
              </w:rPr>
              <w:t>Material:</w:t>
            </w:r>
          </w:p>
        </w:tc>
        <w:tc>
          <w:tcPr>
            <w:tcW w:w="4386" w:type="dxa"/>
          </w:tcPr>
          <w:p>
            <w:pPr>
              <w:pStyle w:val="TableParagraph"/>
              <w:spacing w:line="226" w:lineRule="exact"/>
              <w:ind w:left="347"/>
              <w:rPr>
                <w:b/>
                <w:sz w:val="20"/>
              </w:rPr>
            </w:pPr>
            <w:r>
              <w:rPr>
                <w:b/>
                <w:sz w:val="20"/>
              </w:rPr>
              <w:t>Acadian Soluble Seaweed Extract Powder</w:t>
            </w:r>
          </w:p>
        </w:tc>
        <w:tc>
          <w:tcPr>
            <w:tcW w:w="1829" w:type="dxa"/>
          </w:tcPr>
          <w:p>
            <w:pPr>
              <w:pStyle w:val="TableParagraph"/>
              <w:spacing w:line="221" w:lineRule="exact"/>
              <w:ind w:left="462"/>
              <w:rPr>
                <w:sz w:val="20"/>
              </w:rPr>
            </w:pPr>
            <w:r>
              <w:rPr>
                <w:sz w:val="20"/>
              </w:rPr>
              <w:t>SDS revision:</w:t>
            </w:r>
          </w:p>
        </w:tc>
        <w:tc>
          <w:tcPr>
            <w:tcW w:w="1790" w:type="dxa"/>
          </w:tcPr>
          <w:p>
            <w:pPr>
              <w:pStyle w:val="TableParagraph"/>
              <w:spacing w:line="226" w:lineRule="exact"/>
              <w:ind w:left="253"/>
              <w:rPr>
                <w:b/>
                <w:sz w:val="20"/>
              </w:rPr>
            </w:pPr>
            <w:r>
              <w:rPr>
                <w:b/>
                <w:sz w:val="20"/>
              </w:rPr>
              <w:t>November 2014</w:t>
            </w:r>
          </w:p>
        </w:tc>
      </w:tr>
      <w:tr>
        <w:trPr>
          <w:trHeight w:val="271" w:hRule="exact"/>
        </w:trPr>
        <w:tc>
          <w:tcPr>
            <w:tcW w:w="1761" w:type="dxa"/>
          </w:tcPr>
          <w:p>
            <w:pPr>
              <w:pStyle w:val="TableParagraph"/>
              <w:spacing w:line="240" w:lineRule="auto" w:before="36"/>
              <w:ind w:left="200"/>
              <w:rPr>
                <w:sz w:val="20"/>
              </w:rPr>
            </w:pPr>
            <w:r>
              <w:rPr>
                <w:sz w:val="20"/>
              </w:rPr>
              <w:t>SDS reference:</w:t>
            </w:r>
          </w:p>
        </w:tc>
        <w:tc>
          <w:tcPr>
            <w:tcW w:w="4386" w:type="dxa"/>
          </w:tcPr>
          <w:p>
            <w:pPr>
              <w:pStyle w:val="TableParagraph"/>
              <w:spacing w:line="240" w:lineRule="auto" w:before="41"/>
              <w:ind w:left="347"/>
              <w:rPr>
                <w:b/>
                <w:sz w:val="20"/>
              </w:rPr>
            </w:pPr>
            <w:r>
              <w:rPr>
                <w:b/>
                <w:sz w:val="20"/>
              </w:rPr>
              <w:t>ANP.ORG.9.6.EU.1114</w:t>
            </w:r>
          </w:p>
        </w:tc>
        <w:tc>
          <w:tcPr>
            <w:tcW w:w="1829" w:type="dxa"/>
          </w:tcPr>
          <w:p>
            <w:pPr/>
          </w:p>
        </w:tc>
        <w:tc>
          <w:tcPr>
            <w:tcW w:w="1790" w:type="dxa"/>
          </w:tcPr>
          <w:p>
            <w:pPr/>
          </w:p>
        </w:tc>
      </w:tr>
    </w:tbl>
    <w:p>
      <w:pPr>
        <w:pStyle w:val="BodyText"/>
        <w:spacing w:before="6"/>
        <w:rPr>
          <w:b/>
        </w:rPr>
      </w:pPr>
      <w:r>
        <w:rPr/>
        <w:pict>
          <v:shapetype id="_x0000_t202" o:spt="202" coordsize="21600,21600" path="m,l,21600r21600,l21600,xe">
            <v:stroke joinstyle="miter"/>
            <v:path gradientshapeok="t" o:connecttype="rect"/>
          </v:shapetype>
          <v:shape style="position:absolute;margin-left:51.240002pt;margin-top:14.045567pt;width:509.65pt;height:13.95pt;mso-position-horizontal-relative:page;mso-position-vertical-relative:paragraph;z-index:0;mso-wrap-distance-left:0;mso-wrap-distance-right:0" type="#_x0000_t202" filled="true" fillcolor="#daedf3" stroked="true" strokeweight=".48004pt" strokecolor="#000000">
            <v:textbox inset="0,0,0,0">
              <w:txbxContent>
                <w:p>
                  <w:pPr>
                    <w:tabs>
                      <w:tab w:pos="828" w:val="left" w:leader="none"/>
                    </w:tabs>
                    <w:spacing w:before="19"/>
                    <w:ind w:left="107" w:right="0" w:firstLine="0"/>
                    <w:jc w:val="left"/>
                    <w:rPr>
                      <w:b/>
                      <w:sz w:val="20"/>
                    </w:rPr>
                  </w:pPr>
                  <w:r>
                    <w:rPr>
                      <w:b/>
                      <w:sz w:val="20"/>
                    </w:rPr>
                    <w:t>1.0</w:t>
                    <w:tab/>
                    <w:t>IDENTIFICATION OF THE SUBSTANCE/PREPARATION AND</w:t>
                  </w:r>
                  <w:r>
                    <w:rPr>
                      <w:b/>
                      <w:spacing w:val="-15"/>
                      <w:sz w:val="20"/>
                    </w:rPr>
                    <w:t> </w:t>
                  </w:r>
                  <w:r>
                    <w:rPr>
                      <w:b/>
                      <w:sz w:val="20"/>
                    </w:rPr>
                    <w:t>COMPANY</w:t>
                  </w:r>
                </w:p>
              </w:txbxContent>
            </v:textbox>
            <v:fill type="solid"/>
            <v:stroke dashstyle="solid"/>
            <w10:wrap type="topAndBottom"/>
          </v:shape>
        </w:pict>
      </w:r>
    </w:p>
    <w:p>
      <w:pPr>
        <w:pStyle w:val="BodyText"/>
        <w:spacing w:before="5"/>
        <w:rPr>
          <w:b/>
          <w:sz w:val="9"/>
        </w:rPr>
      </w:pPr>
    </w:p>
    <w:p>
      <w:pPr>
        <w:pStyle w:val="ListParagraph"/>
        <w:numPr>
          <w:ilvl w:val="1"/>
          <w:numId w:val="1"/>
        </w:numPr>
        <w:tabs>
          <w:tab w:pos="1538" w:val="left" w:leader="none"/>
          <w:tab w:pos="1539" w:val="left" w:leader="none"/>
        </w:tabs>
        <w:spacing w:line="240" w:lineRule="auto" w:before="90" w:after="0"/>
        <w:ind w:left="1538" w:right="0" w:hanging="721"/>
        <w:jc w:val="left"/>
        <w:rPr>
          <w:b/>
          <w:sz w:val="20"/>
        </w:rPr>
      </w:pPr>
      <w:r>
        <w:rPr>
          <w:b/>
          <w:sz w:val="20"/>
        </w:rPr>
        <w:t>Product</w:t>
      </w:r>
      <w:r>
        <w:rPr>
          <w:b/>
          <w:spacing w:val="-6"/>
          <w:sz w:val="20"/>
        </w:rPr>
        <w:t> </w:t>
      </w:r>
      <w:r>
        <w:rPr>
          <w:b/>
          <w:sz w:val="20"/>
        </w:rPr>
        <w:t>identifier</w:t>
      </w:r>
    </w:p>
    <w:p>
      <w:pPr>
        <w:pStyle w:val="BodyText"/>
        <w:spacing w:before="6"/>
        <w:rPr>
          <w:b/>
          <w:sz w:val="19"/>
        </w:rPr>
      </w:pPr>
    </w:p>
    <w:p>
      <w:pPr>
        <w:spacing w:before="0"/>
        <w:ind w:left="1538" w:right="0" w:firstLine="0"/>
        <w:jc w:val="left"/>
        <w:rPr>
          <w:sz w:val="20"/>
        </w:rPr>
      </w:pPr>
      <w:r>
        <w:rPr>
          <w:i/>
          <w:sz w:val="20"/>
        </w:rPr>
        <w:t>Ascophyllum nodosum </w:t>
      </w:r>
      <w:r>
        <w:rPr>
          <w:sz w:val="20"/>
        </w:rPr>
        <w:t>Soluble Seaweed Extract Powder</w:t>
      </w:r>
    </w:p>
    <w:p>
      <w:pPr>
        <w:pStyle w:val="BodyText"/>
        <w:spacing w:before="5"/>
      </w:pPr>
    </w:p>
    <w:p>
      <w:pPr>
        <w:pStyle w:val="Heading1"/>
        <w:numPr>
          <w:ilvl w:val="1"/>
          <w:numId w:val="1"/>
        </w:numPr>
        <w:tabs>
          <w:tab w:pos="1538" w:val="left" w:leader="none"/>
          <w:tab w:pos="1539" w:val="left" w:leader="none"/>
        </w:tabs>
        <w:spacing w:line="240" w:lineRule="auto" w:before="0" w:after="0"/>
        <w:ind w:left="1538" w:right="0" w:hanging="721"/>
        <w:jc w:val="left"/>
      </w:pPr>
      <w:r>
        <w:rPr/>
        <w:t>Relevant identified uses of the substance or mixture and uses advised</w:t>
      </w:r>
      <w:r>
        <w:rPr>
          <w:spacing w:val="-26"/>
        </w:rPr>
        <w:t> </w:t>
      </w:r>
      <w:r>
        <w:rPr/>
        <w:t>against</w:t>
      </w:r>
    </w:p>
    <w:p>
      <w:pPr>
        <w:pStyle w:val="BodyText"/>
        <w:spacing w:before="4"/>
        <w:rPr>
          <w:b/>
          <w:sz w:val="19"/>
        </w:rPr>
      </w:pPr>
    </w:p>
    <w:p>
      <w:pPr>
        <w:pStyle w:val="BodyText"/>
        <w:ind w:left="1538"/>
      </w:pPr>
      <w:r>
        <w:rPr/>
        <w:t>Used as a fertilizer to supplement a well-balanced crop nutrition program.</w:t>
      </w:r>
    </w:p>
    <w:p>
      <w:pPr>
        <w:pStyle w:val="BodyText"/>
        <w:spacing w:before="5"/>
      </w:pPr>
    </w:p>
    <w:p>
      <w:pPr>
        <w:pStyle w:val="Heading1"/>
        <w:numPr>
          <w:ilvl w:val="1"/>
          <w:numId w:val="1"/>
        </w:numPr>
        <w:tabs>
          <w:tab w:pos="1538" w:val="left" w:leader="none"/>
          <w:tab w:pos="1539" w:val="left" w:leader="none"/>
        </w:tabs>
        <w:spacing w:line="240" w:lineRule="auto" w:before="0" w:after="0"/>
        <w:ind w:left="1538" w:right="0" w:hanging="721"/>
        <w:jc w:val="left"/>
      </w:pPr>
      <w:r>
        <w:rPr/>
        <w:t>Details of the supplier of the safety data</w:t>
      </w:r>
      <w:r>
        <w:rPr>
          <w:spacing w:val="-15"/>
        </w:rPr>
        <w:t> </w:t>
      </w:r>
      <w:r>
        <w:rPr/>
        <w:t>sheet</w:t>
      </w:r>
    </w:p>
    <w:p>
      <w:pPr>
        <w:pStyle w:val="BodyText"/>
        <w:spacing w:before="5"/>
        <w:rPr>
          <w:b/>
        </w:rPr>
      </w:pPr>
    </w:p>
    <w:tbl>
      <w:tblPr>
        <w:tblW w:w="0" w:type="auto"/>
        <w:jc w:val="left"/>
        <w:tblInd w:w="1436" w:type="dxa"/>
        <w:tblBorders>
          <w:top w:val="nil"/>
          <w:left w:val="nil"/>
          <w:bottom w:val="nil"/>
          <w:right w:val="nil"/>
          <w:insideH w:val="nil"/>
          <w:insideV w:val="nil"/>
        </w:tblBorders>
        <w:tblLayout w:type="fixed"/>
        <w:tblCellMar>
          <w:top w:w="0" w:type="dxa"/>
          <w:left w:w="0" w:type="dxa"/>
          <w:bottom w:w="0" w:type="dxa"/>
          <w:right w:w="0" w:type="dxa"/>
        </w:tblCellMar>
        <w:tblLook w:val="01E0"/>
      </w:tblPr>
      <w:tblGrid>
        <w:gridCol w:w="2400"/>
        <w:gridCol w:w="3757"/>
      </w:tblGrid>
      <w:tr>
        <w:trPr>
          <w:trHeight w:val="224" w:hRule="exact"/>
        </w:trPr>
        <w:tc>
          <w:tcPr>
            <w:tcW w:w="2400" w:type="dxa"/>
          </w:tcPr>
          <w:p>
            <w:pPr>
              <w:pStyle w:val="TableParagraph"/>
              <w:spacing w:line="221" w:lineRule="exact"/>
              <w:ind w:left="200"/>
              <w:rPr>
                <w:sz w:val="20"/>
              </w:rPr>
            </w:pPr>
            <w:r>
              <w:rPr>
                <w:sz w:val="20"/>
              </w:rPr>
              <w:t>Company name:</w:t>
            </w:r>
          </w:p>
        </w:tc>
        <w:tc>
          <w:tcPr>
            <w:tcW w:w="3757" w:type="dxa"/>
          </w:tcPr>
          <w:p>
            <w:pPr>
              <w:pStyle w:val="TableParagraph"/>
              <w:spacing w:line="221" w:lineRule="exact"/>
              <w:ind w:left="884"/>
              <w:rPr>
                <w:sz w:val="20"/>
              </w:rPr>
            </w:pPr>
            <w:r>
              <w:rPr>
                <w:sz w:val="20"/>
              </w:rPr>
              <w:t>Organic Crop Protectants Pty Ltd</w:t>
            </w:r>
          </w:p>
        </w:tc>
      </w:tr>
      <w:tr>
        <w:trPr>
          <w:trHeight w:val="575" w:hRule="exact"/>
        </w:trPr>
        <w:tc>
          <w:tcPr>
            <w:tcW w:w="2400" w:type="dxa"/>
          </w:tcPr>
          <w:p>
            <w:pPr>
              <w:pStyle w:val="TableParagraph"/>
              <w:spacing w:line="224" w:lineRule="exact"/>
              <w:ind w:left="200"/>
              <w:rPr>
                <w:sz w:val="20"/>
              </w:rPr>
            </w:pPr>
            <w:r>
              <w:rPr>
                <w:sz w:val="20"/>
              </w:rPr>
              <w:t>Address:</w:t>
            </w:r>
          </w:p>
        </w:tc>
        <w:tc>
          <w:tcPr>
            <w:tcW w:w="3757" w:type="dxa"/>
          </w:tcPr>
          <w:p>
            <w:pPr>
              <w:pStyle w:val="TableParagraph"/>
              <w:spacing w:line="240" w:lineRule="auto"/>
              <w:ind w:left="884" w:right="864"/>
              <w:rPr>
                <w:sz w:val="20"/>
              </w:rPr>
            </w:pPr>
            <w:r>
              <w:rPr>
                <w:sz w:val="20"/>
              </w:rPr>
              <w:t>Unit 1/61 Turrella St., TURRELLA NSW 2205</w:t>
            </w:r>
          </w:p>
        </w:tc>
      </w:tr>
      <w:tr>
        <w:trPr>
          <w:trHeight w:val="341" w:hRule="exact"/>
        </w:trPr>
        <w:tc>
          <w:tcPr>
            <w:tcW w:w="2400" w:type="dxa"/>
          </w:tcPr>
          <w:p>
            <w:pPr>
              <w:pStyle w:val="TableParagraph"/>
              <w:spacing w:line="240" w:lineRule="auto" w:before="111"/>
              <w:ind w:left="200"/>
              <w:rPr>
                <w:sz w:val="20"/>
              </w:rPr>
            </w:pPr>
            <w:r>
              <w:rPr>
                <w:sz w:val="20"/>
              </w:rPr>
              <w:t>Contact person:</w:t>
            </w:r>
          </w:p>
        </w:tc>
        <w:tc>
          <w:tcPr>
            <w:tcW w:w="3757" w:type="dxa"/>
          </w:tcPr>
          <w:p>
            <w:pPr>
              <w:pStyle w:val="TableParagraph"/>
              <w:spacing w:line="240" w:lineRule="auto" w:before="111"/>
              <w:ind w:left="884"/>
              <w:rPr>
                <w:sz w:val="20"/>
              </w:rPr>
            </w:pPr>
            <w:r>
              <w:rPr>
                <w:sz w:val="20"/>
              </w:rPr>
              <w:t>Gary Leeson</w:t>
            </w:r>
          </w:p>
        </w:tc>
      </w:tr>
    </w:tbl>
    <w:p>
      <w:pPr>
        <w:pStyle w:val="BodyText"/>
        <w:spacing w:before="3"/>
        <w:rPr>
          <w:b/>
        </w:rPr>
      </w:pPr>
    </w:p>
    <w:p>
      <w:pPr>
        <w:pStyle w:val="ListParagraph"/>
        <w:numPr>
          <w:ilvl w:val="1"/>
          <w:numId w:val="1"/>
        </w:numPr>
        <w:tabs>
          <w:tab w:pos="1538" w:val="left" w:leader="none"/>
          <w:tab w:pos="1539" w:val="left" w:leader="none"/>
        </w:tabs>
        <w:spacing w:line="240" w:lineRule="auto" w:before="0" w:after="0"/>
        <w:ind w:left="1538" w:right="0" w:hanging="721"/>
        <w:jc w:val="left"/>
        <w:rPr>
          <w:b/>
          <w:sz w:val="20"/>
        </w:rPr>
      </w:pPr>
      <w:r>
        <w:rPr>
          <w:b/>
          <w:sz w:val="20"/>
        </w:rPr>
        <w:t>Emergency telephone</w:t>
      </w:r>
      <w:r>
        <w:rPr>
          <w:b/>
          <w:spacing w:val="-10"/>
          <w:sz w:val="20"/>
        </w:rPr>
        <w:t> </w:t>
      </w:r>
      <w:r>
        <w:rPr>
          <w:b/>
          <w:sz w:val="20"/>
        </w:rPr>
        <w:t>number</w:t>
      </w:r>
    </w:p>
    <w:p>
      <w:pPr>
        <w:pStyle w:val="BodyText"/>
        <w:spacing w:before="7"/>
        <w:rPr>
          <w:b/>
          <w:sz w:val="19"/>
        </w:rPr>
      </w:pPr>
    </w:p>
    <w:p>
      <w:pPr>
        <w:pStyle w:val="BodyText"/>
        <w:ind w:left="1538"/>
      </w:pPr>
      <w:r>
        <w:rPr/>
        <w:t>1800 634 204</w:t>
      </w:r>
    </w:p>
    <w:p>
      <w:pPr>
        <w:pStyle w:val="BodyText"/>
        <w:spacing w:before="3"/>
        <w:rPr>
          <w:sz w:val="17"/>
        </w:rPr>
      </w:pPr>
      <w:r>
        <w:rPr/>
        <w:pict>
          <v:shape style="position:absolute;margin-left:51.240002pt;margin-top:12.130573pt;width:509.65pt;height:14.05pt;mso-position-horizontal-relative:page;mso-position-vertical-relative:paragraph;z-index:1048;mso-wrap-distance-left:0;mso-wrap-distance-right:0" type="#_x0000_t202" filled="true" fillcolor="#daedf3" stroked="true" strokeweight=".48004pt" strokecolor="#000000">
            <v:textbox inset="0,0,0,0">
              <w:txbxContent>
                <w:p>
                  <w:pPr>
                    <w:tabs>
                      <w:tab w:pos="828" w:val="left" w:leader="none"/>
                    </w:tabs>
                    <w:spacing w:before="19"/>
                    <w:ind w:left="107" w:right="0" w:firstLine="0"/>
                    <w:jc w:val="left"/>
                    <w:rPr>
                      <w:b/>
                      <w:sz w:val="20"/>
                    </w:rPr>
                  </w:pPr>
                  <w:r>
                    <w:rPr>
                      <w:b/>
                      <w:sz w:val="20"/>
                    </w:rPr>
                    <w:t>2.0</w:t>
                    <w:tab/>
                    <w:t>HAZARDS</w:t>
                  </w:r>
                  <w:r>
                    <w:rPr>
                      <w:b/>
                      <w:spacing w:val="-7"/>
                      <w:sz w:val="20"/>
                    </w:rPr>
                    <w:t> </w:t>
                  </w:r>
                  <w:r>
                    <w:rPr>
                      <w:b/>
                      <w:sz w:val="20"/>
                    </w:rPr>
                    <w:t>IDENTIFICATION</w:t>
                  </w:r>
                </w:p>
              </w:txbxContent>
            </v:textbox>
            <v:fill type="solid"/>
            <v:stroke dashstyle="solid"/>
            <w10:wrap type="topAndBottom"/>
          </v:shape>
        </w:pict>
      </w:r>
    </w:p>
    <w:p>
      <w:pPr>
        <w:pStyle w:val="BodyText"/>
        <w:spacing w:before="2"/>
        <w:rPr>
          <w:sz w:val="9"/>
        </w:rPr>
      </w:pPr>
    </w:p>
    <w:p>
      <w:pPr>
        <w:pStyle w:val="ListParagraph"/>
        <w:numPr>
          <w:ilvl w:val="1"/>
          <w:numId w:val="2"/>
        </w:numPr>
        <w:tabs>
          <w:tab w:pos="1538" w:val="left" w:leader="none"/>
          <w:tab w:pos="1539" w:val="left" w:leader="none"/>
        </w:tabs>
        <w:spacing w:line="228" w:lineRule="exact" w:before="91" w:after="0"/>
        <w:ind w:left="1538" w:right="0" w:hanging="721"/>
        <w:jc w:val="left"/>
        <w:rPr>
          <w:b/>
          <w:sz w:val="20"/>
        </w:rPr>
      </w:pPr>
      <w:r>
        <w:rPr>
          <w:b/>
          <w:sz w:val="20"/>
        </w:rPr>
        <w:t>Classification of substance or</w:t>
      </w:r>
      <w:r>
        <w:rPr>
          <w:b/>
          <w:spacing w:val="-17"/>
          <w:sz w:val="20"/>
        </w:rPr>
        <w:t> </w:t>
      </w:r>
      <w:r>
        <w:rPr>
          <w:b/>
          <w:sz w:val="20"/>
        </w:rPr>
        <w:t>mixture</w:t>
      </w:r>
    </w:p>
    <w:p>
      <w:pPr>
        <w:pStyle w:val="BodyText"/>
        <w:ind w:left="1526" w:right="392"/>
      </w:pPr>
      <w:r>
        <w:rPr/>
        <w:t>The product is not classified as dangerous according to the criteria of the Dangerous Substances Directive (67/548/EEC). The product is not classified as dangerous according to the criteria of the REGULATION (EC) No 1272/2008 on Classification, Labelling and Packaging of Substances and Mixtures.</w:t>
      </w:r>
    </w:p>
    <w:p>
      <w:pPr>
        <w:pStyle w:val="BodyText"/>
        <w:rPr>
          <w:sz w:val="24"/>
        </w:rPr>
      </w:pPr>
    </w:p>
    <w:p>
      <w:pPr>
        <w:pStyle w:val="Heading1"/>
        <w:numPr>
          <w:ilvl w:val="1"/>
          <w:numId w:val="2"/>
        </w:numPr>
        <w:tabs>
          <w:tab w:pos="1538" w:val="left" w:leader="none"/>
          <w:tab w:pos="1539" w:val="left" w:leader="none"/>
        </w:tabs>
        <w:spacing w:line="240" w:lineRule="auto" w:before="0" w:after="0"/>
        <w:ind w:left="1538" w:right="0" w:hanging="721"/>
        <w:jc w:val="left"/>
      </w:pPr>
      <w:r>
        <w:rPr/>
        <w:t>Label</w:t>
      </w:r>
      <w:r>
        <w:rPr>
          <w:spacing w:val="-5"/>
        </w:rPr>
        <w:t> </w:t>
      </w:r>
      <w:r>
        <w:rPr/>
        <w:t>elements</w:t>
      </w:r>
    </w:p>
    <w:p>
      <w:pPr>
        <w:pStyle w:val="BodyText"/>
        <w:spacing w:before="4"/>
        <w:rPr>
          <w:b/>
          <w:sz w:val="19"/>
        </w:rPr>
      </w:pPr>
    </w:p>
    <w:p>
      <w:pPr>
        <w:pStyle w:val="BodyText"/>
        <w:ind w:left="1538"/>
      </w:pPr>
      <w:r>
        <w:rPr/>
        <w:pict>
          <v:shape style="position:absolute;margin-left:568.579285pt;margin-top:13.466184pt;width:9.8pt;height:185.3pt;mso-position-horizontal-relative:page;mso-position-vertical-relative:paragraph;z-index:1096" type="#_x0000_t202" filled="false" stroked="false">
            <v:textbox inset="0,0,0,0" style="layout-flow:vertical;mso-layout-flow-alt:bottom-to-top">
              <w:txbxContent>
                <w:p>
                  <w:pPr>
                    <w:spacing w:before="14"/>
                    <w:ind w:left="20" w:right="-1293" w:firstLine="0"/>
                    <w:jc w:val="left"/>
                    <w:rPr>
                      <w:rFonts w:ascii="Arial" w:hAnsi="Arial"/>
                      <w:sz w:val="14"/>
                    </w:rPr>
                  </w:pPr>
                  <w:r>
                    <w:rPr>
                      <w:rFonts w:ascii="Arial" w:hAnsi="Arial"/>
                      <w:w w:val="99"/>
                      <w:sz w:val="14"/>
                    </w:rPr>
                    <w:t>A</w:t>
                  </w:r>
                  <w:r>
                    <w:rPr>
                      <w:rFonts w:ascii="Arial" w:hAnsi="Arial"/>
                      <w:w w:val="99"/>
                      <w:sz w:val="14"/>
                    </w:rPr>
                    <w:t>NP</w:t>
                  </w:r>
                  <w:r>
                    <w:rPr>
                      <w:rFonts w:ascii="Arial" w:hAnsi="Arial"/>
                      <w:w w:val="99"/>
                      <w:sz w:val="14"/>
                    </w:rPr>
                    <w:t>.POW.</w:t>
                  </w:r>
                  <w:r>
                    <w:rPr>
                      <w:rFonts w:ascii="Arial" w:hAnsi="Arial"/>
                      <w:spacing w:val="-1"/>
                      <w:w w:val="99"/>
                      <w:sz w:val="14"/>
                    </w:rPr>
                    <w:t>9</w:t>
                  </w:r>
                  <w:r>
                    <w:rPr>
                      <w:rFonts w:ascii="Arial" w:hAnsi="Arial"/>
                      <w:spacing w:val="1"/>
                      <w:w w:val="99"/>
                      <w:sz w:val="14"/>
                    </w:rPr>
                    <w:t>.</w:t>
                  </w:r>
                  <w:r>
                    <w:rPr>
                      <w:rFonts w:ascii="Arial" w:hAnsi="Arial"/>
                      <w:spacing w:val="-1"/>
                      <w:w w:val="99"/>
                      <w:sz w:val="14"/>
                    </w:rPr>
                    <w:t>6</w:t>
                  </w:r>
                  <w:r>
                    <w:rPr>
                      <w:rFonts w:ascii="Arial" w:hAnsi="Arial"/>
                      <w:spacing w:val="-1"/>
                      <w:w w:val="99"/>
                      <w:sz w:val="14"/>
                    </w:rPr>
                    <w:t>.</w:t>
                  </w:r>
                  <w:r>
                    <w:rPr>
                      <w:rFonts w:ascii="Arial" w:hAnsi="Arial"/>
                      <w:w w:val="99"/>
                      <w:sz w:val="14"/>
                    </w:rPr>
                    <w:t>E</w:t>
                  </w:r>
                  <w:r>
                    <w:rPr>
                      <w:rFonts w:ascii="Arial" w:hAnsi="Arial"/>
                      <w:w w:val="99"/>
                      <w:sz w:val="14"/>
                    </w:rPr>
                    <w:t>U</w:t>
                  </w:r>
                  <w:r>
                    <w:rPr>
                      <w:rFonts w:ascii="Arial" w:hAnsi="Arial"/>
                      <w:spacing w:val="2"/>
                      <w:w w:val="99"/>
                      <w:sz w:val="14"/>
                    </w:rPr>
                    <w:t>.</w:t>
                  </w:r>
                  <w:r>
                    <w:rPr>
                      <w:rFonts w:ascii="Arial" w:hAnsi="Arial"/>
                      <w:spacing w:val="-1"/>
                      <w:w w:val="99"/>
                      <w:sz w:val="14"/>
                    </w:rPr>
                    <w:t>1</w:t>
                  </w:r>
                  <w:r>
                    <w:rPr>
                      <w:rFonts w:ascii="Arial" w:hAnsi="Arial"/>
                      <w:spacing w:val="1"/>
                      <w:w w:val="99"/>
                      <w:sz w:val="14"/>
                    </w:rPr>
                    <w:t>1</w:t>
                  </w:r>
                  <w:r>
                    <w:rPr>
                      <w:rFonts w:ascii="Arial" w:hAnsi="Arial"/>
                      <w:spacing w:val="-1"/>
                      <w:w w:val="99"/>
                      <w:sz w:val="14"/>
                    </w:rPr>
                    <w:t>1</w:t>
                  </w:r>
                  <w:r>
                    <w:rPr>
                      <w:rFonts w:ascii="Arial" w:hAnsi="Arial"/>
                      <w:w w:val="99"/>
                      <w:sz w:val="14"/>
                    </w:rPr>
                    <w:t>4</w:t>
                  </w:r>
                  <w:r>
                    <w:rPr>
                      <w:rFonts w:ascii="Arial" w:hAnsi="Arial"/>
                      <w:spacing w:val="-2"/>
                      <w:sz w:val="14"/>
                    </w:rPr>
                    <w:t> </w:t>
                  </w:r>
                  <w:r>
                    <w:rPr>
                      <w:rFonts w:ascii="Arial" w:hAnsi="Arial"/>
                      <w:w w:val="99"/>
                      <w:sz w:val="14"/>
                    </w:rPr>
                    <w:t>©</w:t>
                  </w:r>
                  <w:r>
                    <w:rPr>
                      <w:rFonts w:ascii="Arial" w:hAnsi="Arial"/>
                      <w:sz w:val="14"/>
                    </w:rPr>
                    <w:t> </w:t>
                  </w:r>
                  <w:r>
                    <w:rPr>
                      <w:rFonts w:ascii="Arial" w:hAnsi="Arial"/>
                      <w:spacing w:val="2"/>
                      <w:w w:val="99"/>
                      <w:sz w:val="14"/>
                    </w:rPr>
                    <w:t>A</w:t>
                  </w:r>
                  <w:r>
                    <w:rPr>
                      <w:rFonts w:ascii="Arial" w:hAnsi="Arial"/>
                      <w:w w:val="99"/>
                      <w:sz w:val="14"/>
                    </w:rPr>
                    <w:t>c</w:t>
                  </w:r>
                  <w:r>
                    <w:rPr>
                      <w:rFonts w:ascii="Arial" w:hAnsi="Arial"/>
                      <w:spacing w:val="-1"/>
                      <w:w w:val="99"/>
                      <w:sz w:val="14"/>
                    </w:rPr>
                    <w:t>a</w:t>
                  </w:r>
                  <w:r>
                    <w:rPr>
                      <w:rFonts w:ascii="Arial" w:hAnsi="Arial"/>
                      <w:spacing w:val="-1"/>
                      <w:w w:val="99"/>
                      <w:sz w:val="14"/>
                    </w:rPr>
                    <w:t>d</w:t>
                  </w:r>
                  <w:r>
                    <w:rPr>
                      <w:rFonts w:ascii="Arial" w:hAnsi="Arial"/>
                      <w:spacing w:val="2"/>
                      <w:w w:val="99"/>
                      <w:sz w:val="14"/>
                    </w:rPr>
                    <w:t>i</w:t>
                  </w:r>
                  <w:r>
                    <w:rPr>
                      <w:rFonts w:ascii="Arial" w:hAnsi="Arial"/>
                      <w:spacing w:val="-1"/>
                      <w:w w:val="99"/>
                      <w:sz w:val="14"/>
                    </w:rPr>
                    <w:t>a</w:t>
                  </w:r>
                  <w:r>
                    <w:rPr>
                      <w:rFonts w:ascii="Arial" w:hAnsi="Arial"/>
                      <w:w w:val="99"/>
                      <w:sz w:val="14"/>
                    </w:rPr>
                    <w:t>n</w:t>
                  </w:r>
                  <w:r>
                    <w:rPr>
                      <w:rFonts w:ascii="Arial" w:hAnsi="Arial"/>
                      <w:spacing w:val="-1"/>
                      <w:sz w:val="14"/>
                    </w:rPr>
                    <w:t> </w:t>
                  </w:r>
                  <w:r>
                    <w:rPr>
                      <w:rFonts w:ascii="Arial" w:hAnsi="Arial"/>
                      <w:spacing w:val="2"/>
                      <w:w w:val="99"/>
                      <w:sz w:val="14"/>
                    </w:rPr>
                    <w:t>S</w:t>
                  </w:r>
                  <w:r>
                    <w:rPr>
                      <w:rFonts w:ascii="Arial" w:hAnsi="Arial"/>
                      <w:spacing w:val="-1"/>
                      <w:w w:val="99"/>
                      <w:sz w:val="14"/>
                    </w:rPr>
                    <w:t>e</w:t>
                  </w:r>
                  <w:r>
                    <w:rPr>
                      <w:rFonts w:ascii="Arial" w:hAnsi="Arial"/>
                      <w:spacing w:val="1"/>
                      <w:w w:val="99"/>
                      <w:sz w:val="14"/>
                    </w:rPr>
                    <w:t>a</w:t>
                  </w:r>
                  <w:r>
                    <w:rPr>
                      <w:rFonts w:ascii="Arial" w:hAnsi="Arial"/>
                      <w:spacing w:val="-1"/>
                      <w:w w:val="99"/>
                      <w:sz w:val="14"/>
                    </w:rPr>
                    <w:t>p</w:t>
                  </w:r>
                  <w:r>
                    <w:rPr>
                      <w:rFonts w:ascii="Arial" w:hAnsi="Arial"/>
                      <w:w w:val="99"/>
                      <w:sz w:val="14"/>
                    </w:rPr>
                    <w:t>la</w:t>
                  </w:r>
                  <w:r>
                    <w:rPr>
                      <w:rFonts w:ascii="Arial" w:hAnsi="Arial"/>
                      <w:spacing w:val="1"/>
                      <w:w w:val="99"/>
                      <w:sz w:val="14"/>
                    </w:rPr>
                    <w:t>n</w:t>
                  </w:r>
                  <w:r>
                    <w:rPr>
                      <w:rFonts w:ascii="Arial" w:hAnsi="Arial"/>
                      <w:w w:val="99"/>
                      <w:sz w:val="14"/>
                    </w:rPr>
                    <w:t>ts</w:t>
                  </w:r>
                  <w:r>
                    <w:rPr>
                      <w:rFonts w:ascii="Arial" w:hAnsi="Arial"/>
                      <w:spacing w:val="-1"/>
                      <w:sz w:val="14"/>
                    </w:rPr>
                    <w:t> </w:t>
                  </w:r>
                  <w:r>
                    <w:rPr>
                      <w:rFonts w:ascii="Arial" w:hAnsi="Arial"/>
                      <w:spacing w:val="-1"/>
                      <w:w w:val="99"/>
                      <w:sz w:val="14"/>
                    </w:rPr>
                    <w:t>L</w:t>
                  </w:r>
                  <w:r>
                    <w:rPr>
                      <w:rFonts w:ascii="Arial" w:hAnsi="Arial"/>
                      <w:spacing w:val="2"/>
                      <w:w w:val="99"/>
                      <w:sz w:val="14"/>
                    </w:rPr>
                    <w:t>i</w:t>
                  </w:r>
                  <w:r>
                    <w:rPr>
                      <w:rFonts w:ascii="Arial" w:hAnsi="Arial"/>
                      <w:spacing w:val="-1"/>
                      <w:w w:val="99"/>
                      <w:sz w:val="14"/>
                    </w:rPr>
                    <w:t>m</w:t>
                  </w:r>
                  <w:r>
                    <w:rPr>
                      <w:rFonts w:ascii="Arial" w:hAnsi="Arial"/>
                      <w:w w:val="99"/>
                      <w:sz w:val="14"/>
                    </w:rPr>
                    <w:t>it</w:t>
                  </w:r>
                  <w:r>
                    <w:rPr>
                      <w:rFonts w:ascii="Arial" w:hAnsi="Arial"/>
                      <w:spacing w:val="1"/>
                      <w:w w:val="99"/>
                      <w:sz w:val="14"/>
                    </w:rPr>
                    <w:t>e</w:t>
                  </w:r>
                  <w:r>
                    <w:rPr>
                      <w:rFonts w:ascii="Arial" w:hAnsi="Arial"/>
                      <w:w w:val="99"/>
                      <w:sz w:val="14"/>
                    </w:rPr>
                    <w:t>d</w:t>
                  </w:r>
                  <w:r>
                    <w:rPr>
                      <w:rFonts w:ascii="Arial" w:hAnsi="Arial"/>
                      <w:spacing w:val="1"/>
                      <w:sz w:val="14"/>
                    </w:rPr>
                    <w:t> </w:t>
                  </w:r>
                  <w:r>
                    <w:rPr>
                      <w:rFonts w:ascii="Arial" w:hAnsi="Arial"/>
                      <w:spacing w:val="-1"/>
                      <w:w w:val="99"/>
                      <w:sz w:val="14"/>
                    </w:rPr>
                    <w:t>20</w:t>
                  </w:r>
                  <w:r>
                    <w:rPr>
                      <w:rFonts w:ascii="Arial" w:hAnsi="Arial"/>
                      <w:spacing w:val="3"/>
                      <w:w w:val="99"/>
                      <w:sz w:val="14"/>
                    </w:rPr>
                    <w:t>1</w:t>
                  </w:r>
                  <w:r>
                    <w:rPr>
                      <w:rFonts w:ascii="Arial" w:hAnsi="Arial"/>
                      <w:w w:val="99"/>
                      <w:sz w:val="14"/>
                    </w:rPr>
                    <w:t>3</w:t>
                  </w:r>
                </w:p>
              </w:txbxContent>
            </v:textbox>
            <w10:wrap type="none"/>
          </v:shape>
        </w:pict>
      </w:r>
      <w:r>
        <w:rPr/>
        <w:t>The product does not require any specific labelling elements to identify hazards.</w:t>
      </w:r>
    </w:p>
    <w:p>
      <w:pPr>
        <w:pStyle w:val="BodyText"/>
        <w:spacing w:before="5"/>
      </w:pPr>
    </w:p>
    <w:p>
      <w:pPr>
        <w:pStyle w:val="Heading1"/>
        <w:numPr>
          <w:ilvl w:val="1"/>
          <w:numId w:val="2"/>
        </w:numPr>
        <w:tabs>
          <w:tab w:pos="1538" w:val="left" w:leader="none"/>
          <w:tab w:pos="1539" w:val="left" w:leader="none"/>
        </w:tabs>
        <w:spacing w:line="240" w:lineRule="auto" w:before="0" w:after="0"/>
        <w:ind w:left="1538" w:right="0" w:hanging="670"/>
        <w:jc w:val="left"/>
      </w:pPr>
      <w:r>
        <w:rPr/>
        <w:t>Other</w:t>
      </w:r>
      <w:r>
        <w:rPr>
          <w:spacing w:val="-4"/>
        </w:rPr>
        <w:t> </w:t>
      </w:r>
      <w:r>
        <w:rPr/>
        <w:t>hazards</w:t>
      </w:r>
    </w:p>
    <w:p>
      <w:pPr>
        <w:pStyle w:val="BodyText"/>
        <w:spacing w:before="7"/>
        <w:rPr>
          <w:b/>
          <w:sz w:val="19"/>
        </w:rPr>
      </w:pPr>
    </w:p>
    <w:p>
      <w:pPr>
        <w:pStyle w:val="BodyText"/>
        <w:ind w:left="1538"/>
      </w:pPr>
      <w:r>
        <w:rPr/>
        <w:t>The product does not have any other hazards.</w:t>
      </w:r>
    </w:p>
    <w:p>
      <w:pPr>
        <w:pStyle w:val="BodyText"/>
        <w:rPr>
          <w:sz w:val="17"/>
        </w:rPr>
      </w:pPr>
      <w:r>
        <w:rPr/>
        <w:pict>
          <v:shape style="position:absolute;margin-left:51.240002pt;margin-top:12.006263pt;width:509.65pt;height:14.05pt;mso-position-horizontal-relative:page;mso-position-vertical-relative:paragraph;z-index:1072;mso-wrap-distance-left:0;mso-wrap-distance-right:0" type="#_x0000_t202" filled="true" fillcolor="#daedf3" stroked="true" strokeweight=".48004pt" strokecolor="#000000">
            <v:textbox inset="0,0,0,0">
              <w:txbxContent>
                <w:p>
                  <w:pPr>
                    <w:tabs>
                      <w:tab w:pos="828" w:val="left" w:leader="none"/>
                    </w:tabs>
                    <w:spacing w:before="19"/>
                    <w:ind w:left="107" w:right="0" w:firstLine="0"/>
                    <w:jc w:val="left"/>
                    <w:rPr>
                      <w:b/>
                      <w:sz w:val="20"/>
                    </w:rPr>
                  </w:pPr>
                  <w:r>
                    <w:rPr>
                      <w:b/>
                      <w:sz w:val="20"/>
                    </w:rPr>
                    <w:t>3.0</w:t>
                    <w:tab/>
                    <w:t>COMPOSITION/INFORMATION ON</w:t>
                  </w:r>
                  <w:r>
                    <w:rPr>
                      <w:b/>
                      <w:spacing w:val="-14"/>
                      <w:sz w:val="20"/>
                    </w:rPr>
                    <w:t> </w:t>
                  </w:r>
                  <w:r>
                    <w:rPr>
                      <w:b/>
                      <w:sz w:val="20"/>
                    </w:rPr>
                    <w:t>INGREDIENTS</w:t>
                  </w:r>
                </w:p>
              </w:txbxContent>
            </v:textbox>
            <v:fill type="solid"/>
            <v:stroke dashstyle="solid"/>
            <w10:wrap type="topAndBottom"/>
          </v:shape>
        </w:pict>
      </w:r>
    </w:p>
    <w:p>
      <w:pPr>
        <w:pStyle w:val="BodyText"/>
        <w:spacing w:before="5"/>
        <w:rPr>
          <w:sz w:val="9"/>
        </w:rPr>
      </w:pPr>
    </w:p>
    <w:p>
      <w:pPr>
        <w:tabs>
          <w:tab w:pos="1538" w:val="left" w:leader="none"/>
        </w:tabs>
        <w:spacing w:before="90"/>
        <w:ind w:left="817" w:right="0" w:firstLine="0"/>
        <w:jc w:val="left"/>
        <w:rPr>
          <w:b/>
          <w:sz w:val="20"/>
        </w:rPr>
      </w:pPr>
      <w:r>
        <w:rPr>
          <w:b/>
          <w:sz w:val="20"/>
        </w:rPr>
        <w:t>3.1</w:t>
        <w:tab/>
        <w:t>Substances</w:t>
      </w:r>
    </w:p>
    <w:p>
      <w:pPr>
        <w:pStyle w:val="BodyText"/>
        <w:spacing w:before="1" w:after="1"/>
        <w:rPr>
          <w:b/>
        </w:rPr>
      </w:pPr>
    </w:p>
    <w:tbl>
      <w:tblPr>
        <w:tblW w:w="0" w:type="auto"/>
        <w:jc w:val="left"/>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1702"/>
        <w:gridCol w:w="1702"/>
        <w:gridCol w:w="1985"/>
        <w:gridCol w:w="1982"/>
      </w:tblGrid>
      <w:tr>
        <w:trPr>
          <w:trHeight w:val="240" w:hRule="exact"/>
        </w:trPr>
        <w:tc>
          <w:tcPr>
            <w:tcW w:w="2518" w:type="dxa"/>
          </w:tcPr>
          <w:p>
            <w:pPr>
              <w:pStyle w:val="TableParagraph"/>
              <w:spacing w:line="228" w:lineRule="exact"/>
              <w:ind w:left="164" w:right="164"/>
              <w:jc w:val="center"/>
              <w:rPr>
                <w:b/>
                <w:sz w:val="20"/>
              </w:rPr>
            </w:pPr>
            <w:r>
              <w:rPr>
                <w:b/>
                <w:sz w:val="20"/>
              </w:rPr>
              <w:t>Substance</w:t>
            </w:r>
          </w:p>
        </w:tc>
        <w:tc>
          <w:tcPr>
            <w:tcW w:w="1702" w:type="dxa"/>
          </w:tcPr>
          <w:p>
            <w:pPr>
              <w:pStyle w:val="TableParagraph"/>
              <w:spacing w:line="228" w:lineRule="exact"/>
              <w:ind w:left="359" w:right="359"/>
              <w:jc w:val="center"/>
              <w:rPr>
                <w:b/>
                <w:sz w:val="20"/>
              </w:rPr>
            </w:pPr>
            <w:r>
              <w:rPr>
                <w:b/>
                <w:sz w:val="20"/>
              </w:rPr>
              <w:t>CAS No.</w:t>
            </w:r>
          </w:p>
        </w:tc>
        <w:tc>
          <w:tcPr>
            <w:tcW w:w="1702" w:type="dxa"/>
          </w:tcPr>
          <w:p>
            <w:pPr>
              <w:pStyle w:val="TableParagraph"/>
              <w:spacing w:line="228" w:lineRule="exact"/>
              <w:ind w:left="408" w:right="409"/>
              <w:jc w:val="center"/>
              <w:rPr>
                <w:b/>
                <w:sz w:val="20"/>
              </w:rPr>
            </w:pPr>
            <w:r>
              <w:rPr>
                <w:b/>
                <w:sz w:val="20"/>
              </w:rPr>
              <w:t>EC No.</w:t>
            </w:r>
          </w:p>
        </w:tc>
        <w:tc>
          <w:tcPr>
            <w:tcW w:w="1985" w:type="dxa"/>
          </w:tcPr>
          <w:p>
            <w:pPr>
              <w:pStyle w:val="TableParagraph"/>
              <w:spacing w:line="228" w:lineRule="exact"/>
              <w:ind w:left="290" w:right="294"/>
              <w:jc w:val="center"/>
              <w:rPr>
                <w:b/>
                <w:sz w:val="20"/>
              </w:rPr>
            </w:pPr>
            <w:r>
              <w:rPr>
                <w:b/>
                <w:sz w:val="20"/>
              </w:rPr>
              <w:t>Classification</w:t>
            </w:r>
          </w:p>
        </w:tc>
        <w:tc>
          <w:tcPr>
            <w:tcW w:w="1982" w:type="dxa"/>
          </w:tcPr>
          <w:p>
            <w:pPr>
              <w:pStyle w:val="TableParagraph"/>
              <w:spacing w:line="228" w:lineRule="exact"/>
              <w:ind w:left="421" w:right="421"/>
              <w:jc w:val="center"/>
              <w:rPr>
                <w:b/>
                <w:sz w:val="20"/>
              </w:rPr>
            </w:pPr>
            <w:r>
              <w:rPr>
                <w:b/>
                <w:sz w:val="20"/>
              </w:rPr>
              <w:t>Composition</w:t>
            </w:r>
          </w:p>
        </w:tc>
      </w:tr>
      <w:tr>
        <w:trPr>
          <w:trHeight w:val="240" w:hRule="exact"/>
        </w:trPr>
        <w:tc>
          <w:tcPr>
            <w:tcW w:w="2518" w:type="dxa"/>
          </w:tcPr>
          <w:p>
            <w:pPr>
              <w:pStyle w:val="TableParagraph"/>
              <w:ind w:left="165" w:right="164"/>
              <w:jc w:val="center"/>
              <w:rPr>
                <w:i/>
                <w:sz w:val="20"/>
              </w:rPr>
            </w:pPr>
            <w:r>
              <w:rPr>
                <w:i/>
                <w:sz w:val="20"/>
              </w:rPr>
              <w:t>Ascophyllum nodosum ext.</w:t>
            </w:r>
          </w:p>
        </w:tc>
        <w:tc>
          <w:tcPr>
            <w:tcW w:w="1702" w:type="dxa"/>
          </w:tcPr>
          <w:p>
            <w:pPr>
              <w:pStyle w:val="TableParagraph"/>
              <w:ind w:left="359" w:right="359"/>
              <w:jc w:val="center"/>
              <w:rPr>
                <w:sz w:val="20"/>
              </w:rPr>
            </w:pPr>
            <w:r>
              <w:rPr>
                <w:sz w:val="20"/>
              </w:rPr>
              <w:t>84775-78-0</w:t>
            </w:r>
          </w:p>
        </w:tc>
        <w:tc>
          <w:tcPr>
            <w:tcW w:w="1702" w:type="dxa"/>
          </w:tcPr>
          <w:p>
            <w:pPr>
              <w:pStyle w:val="TableParagraph"/>
              <w:ind w:left="410" w:right="409"/>
              <w:jc w:val="center"/>
              <w:rPr>
                <w:sz w:val="20"/>
              </w:rPr>
            </w:pPr>
            <w:r>
              <w:rPr>
                <w:sz w:val="20"/>
              </w:rPr>
              <w:t>283-907-6</w:t>
            </w:r>
          </w:p>
        </w:tc>
        <w:tc>
          <w:tcPr>
            <w:tcW w:w="1985" w:type="dxa"/>
          </w:tcPr>
          <w:p>
            <w:pPr>
              <w:pStyle w:val="TableParagraph"/>
              <w:ind w:left="291" w:right="294"/>
              <w:jc w:val="center"/>
              <w:rPr>
                <w:sz w:val="20"/>
              </w:rPr>
            </w:pPr>
            <w:r>
              <w:rPr>
                <w:sz w:val="20"/>
              </w:rPr>
              <w:t>No classification</w:t>
            </w:r>
          </w:p>
        </w:tc>
        <w:tc>
          <w:tcPr>
            <w:tcW w:w="1982" w:type="dxa"/>
          </w:tcPr>
          <w:p>
            <w:pPr>
              <w:pStyle w:val="TableParagraph"/>
              <w:ind w:left="421" w:right="420"/>
              <w:jc w:val="center"/>
              <w:rPr>
                <w:sz w:val="20"/>
              </w:rPr>
            </w:pPr>
            <w:r>
              <w:rPr>
                <w:sz w:val="20"/>
              </w:rPr>
              <w:t>100% w/w</w:t>
            </w:r>
          </w:p>
        </w:tc>
      </w:tr>
    </w:tbl>
    <w:p>
      <w:pPr>
        <w:spacing w:after="0"/>
        <w:jc w:val="center"/>
        <w:rPr>
          <w:sz w:val="20"/>
        </w:rPr>
        <w:sectPr>
          <w:type w:val="continuous"/>
          <w:pgSz w:w="12240" w:h="15840"/>
          <w:pgMar w:top="240" w:bottom="280" w:left="320" w:right="380"/>
        </w:sectPr>
      </w:pPr>
    </w:p>
    <w:p>
      <w:pPr>
        <w:pStyle w:val="BodyText"/>
        <w:ind w:left="99"/>
      </w:pPr>
      <w:r>
        <w:rPr>
          <w:spacing w:val="-49"/>
        </w:rPr>
        <w:t> </w:t>
      </w:r>
      <w:r>
        <w:rPr>
          <w:spacing w:val="-49"/>
        </w:rPr>
        <w:pict>
          <v:shape style="width:509.65pt;height:14.05pt;mso-position-horizontal-relative:char;mso-position-vertical-relative:line" type="#_x0000_t202" filled="true" fillcolor="#daedf3" stroked="true" strokeweight=".48004pt" strokecolor="#000000">
            <w10:anchorlock/>
            <v:textbox inset="0,0,0,0">
              <w:txbxContent>
                <w:p>
                  <w:pPr>
                    <w:tabs>
                      <w:tab w:pos="828" w:val="left" w:leader="none"/>
                    </w:tabs>
                    <w:spacing w:before="19"/>
                    <w:ind w:left="107" w:right="0" w:firstLine="0"/>
                    <w:jc w:val="left"/>
                    <w:rPr>
                      <w:b/>
                      <w:sz w:val="20"/>
                    </w:rPr>
                  </w:pPr>
                  <w:r>
                    <w:rPr>
                      <w:b/>
                      <w:sz w:val="20"/>
                    </w:rPr>
                    <w:t>4.0</w:t>
                    <w:tab/>
                    <w:t>FIRST AID</w:t>
                  </w:r>
                  <w:r>
                    <w:rPr>
                      <w:b/>
                      <w:spacing w:val="-7"/>
                      <w:sz w:val="20"/>
                    </w:rPr>
                    <w:t> </w:t>
                  </w:r>
                  <w:r>
                    <w:rPr>
                      <w:b/>
                      <w:sz w:val="20"/>
                    </w:rPr>
                    <w:t>MEASURES</w:t>
                  </w:r>
                </w:p>
              </w:txbxContent>
            </v:textbox>
            <v:fill type="solid"/>
            <v:stroke dashstyle="solid"/>
          </v:shape>
        </w:pict>
      </w:r>
      <w:r>
        <w:rPr>
          <w:spacing w:val="-49"/>
        </w:rPr>
      </w:r>
    </w:p>
    <w:p>
      <w:pPr>
        <w:pStyle w:val="Heading1"/>
        <w:numPr>
          <w:ilvl w:val="1"/>
          <w:numId w:val="3"/>
        </w:numPr>
        <w:tabs>
          <w:tab w:pos="937" w:val="left" w:leader="none"/>
          <w:tab w:pos="939" w:val="left" w:leader="none"/>
        </w:tabs>
        <w:spacing w:line="240" w:lineRule="auto" w:before="112" w:after="0"/>
        <w:ind w:left="938" w:right="0" w:hanging="721"/>
        <w:jc w:val="left"/>
      </w:pPr>
      <w:r>
        <w:rPr/>
        <w:t>Description of first aid</w:t>
      </w:r>
      <w:r>
        <w:rPr>
          <w:spacing w:val="-10"/>
        </w:rPr>
        <w:t> </w:t>
      </w:r>
      <w:r>
        <w:rPr/>
        <w:t>measures</w:t>
      </w:r>
    </w:p>
    <w:p>
      <w:pPr>
        <w:pStyle w:val="BodyText"/>
        <w:tabs>
          <w:tab w:pos="2377" w:val="left" w:leader="none"/>
        </w:tabs>
        <w:spacing w:before="156"/>
        <w:ind w:left="938"/>
      </w:pPr>
      <w:r>
        <w:rPr>
          <w:b/>
          <w:i/>
        </w:rPr>
        <w:t>General:</w:t>
        <w:tab/>
      </w:r>
      <w:r>
        <w:rPr/>
        <w:t>Product is not hazardous. If irritation or discomfort occurs, medical advice should be</w:t>
      </w:r>
      <w:r>
        <w:rPr>
          <w:spacing w:val="-34"/>
        </w:rPr>
        <w:t> </w:t>
      </w:r>
      <w:r>
        <w:rPr/>
        <w:t>sought.</w:t>
      </w:r>
    </w:p>
    <w:p>
      <w:pPr>
        <w:pStyle w:val="BodyText"/>
        <w:tabs>
          <w:tab w:pos="2377" w:val="left" w:leader="none"/>
        </w:tabs>
        <w:spacing w:before="161"/>
        <w:ind w:left="938"/>
      </w:pPr>
      <w:r>
        <w:rPr>
          <w:b/>
          <w:i/>
        </w:rPr>
        <w:t>Inhalation:</w:t>
        <w:tab/>
      </w:r>
      <w:r>
        <w:rPr/>
        <w:t>Product is not toxic. Vapours should not be intentionally breathed</w:t>
      </w:r>
      <w:r>
        <w:rPr>
          <w:spacing w:val="-25"/>
        </w:rPr>
        <w:t> </w:t>
      </w:r>
      <w:r>
        <w:rPr/>
        <w:t>in.</w:t>
      </w:r>
    </w:p>
    <w:p>
      <w:pPr>
        <w:pStyle w:val="BodyText"/>
        <w:tabs>
          <w:tab w:pos="2377" w:val="left" w:leader="none"/>
        </w:tabs>
        <w:spacing w:before="161"/>
        <w:ind w:left="2378" w:right="323" w:hanging="1440"/>
      </w:pPr>
      <w:r>
        <w:rPr>
          <w:b/>
          <w:i/>
        </w:rPr>
        <w:t>Eye</w:t>
      </w:r>
      <w:r>
        <w:rPr>
          <w:b/>
          <w:i/>
          <w:spacing w:val="-2"/>
        </w:rPr>
        <w:t> </w:t>
      </w:r>
      <w:r>
        <w:rPr>
          <w:b/>
          <w:i/>
        </w:rPr>
        <w:t>contact:</w:t>
        <w:tab/>
      </w:r>
      <w:r>
        <w:rPr/>
        <w:t>Product is not irritating to eyes. On contact, eyes should be held open and flushed with</w:t>
      </w:r>
      <w:r>
        <w:rPr>
          <w:spacing w:val="-27"/>
        </w:rPr>
        <w:t> </w:t>
      </w:r>
      <w:r>
        <w:rPr/>
        <w:t>plenty</w:t>
      </w:r>
      <w:r>
        <w:rPr>
          <w:spacing w:val="-6"/>
        </w:rPr>
        <w:t> </w:t>
      </w:r>
      <w:r>
        <w:rPr/>
        <w:t>of</w:t>
      </w:r>
      <w:r>
        <w:rPr>
          <w:w w:val="99"/>
        </w:rPr>
        <w:t> </w:t>
      </w:r>
      <w:r>
        <w:rPr/>
        <w:t>water. Should any irritation occur, medical attention should be</w:t>
      </w:r>
      <w:r>
        <w:rPr>
          <w:spacing w:val="-25"/>
        </w:rPr>
        <w:t> </w:t>
      </w:r>
      <w:r>
        <w:rPr/>
        <w:t>sought.</w:t>
      </w:r>
    </w:p>
    <w:p>
      <w:pPr>
        <w:pStyle w:val="BodyText"/>
        <w:tabs>
          <w:tab w:pos="2377" w:val="left" w:leader="none"/>
        </w:tabs>
        <w:spacing w:before="161"/>
        <w:ind w:left="938"/>
      </w:pPr>
      <w:r>
        <w:rPr>
          <w:b/>
          <w:i/>
        </w:rPr>
        <w:t>Skin</w:t>
      </w:r>
      <w:r>
        <w:rPr>
          <w:b/>
          <w:i/>
          <w:spacing w:val="-2"/>
        </w:rPr>
        <w:t> </w:t>
      </w:r>
      <w:r>
        <w:rPr>
          <w:b/>
          <w:i/>
        </w:rPr>
        <w:t>contact:</w:t>
        <w:tab/>
      </w:r>
      <w:r>
        <w:rPr/>
        <w:t>Product is not irritating to skin. On contact, skin should be washed with mild soap and</w:t>
      </w:r>
      <w:r>
        <w:rPr>
          <w:spacing w:val="-31"/>
        </w:rPr>
        <w:t> </w:t>
      </w:r>
      <w:r>
        <w:rPr/>
        <w:t>water.</w:t>
      </w:r>
    </w:p>
    <w:p>
      <w:pPr>
        <w:pStyle w:val="BodyText"/>
        <w:ind w:left="2378"/>
      </w:pPr>
      <w:r>
        <w:rPr/>
        <w:t>Should any discomfort occur, medical attention should be sought.</w:t>
      </w:r>
    </w:p>
    <w:p>
      <w:pPr>
        <w:pStyle w:val="BodyText"/>
        <w:tabs>
          <w:tab w:pos="2377" w:val="left" w:leader="none"/>
        </w:tabs>
        <w:spacing w:before="161"/>
        <w:ind w:left="2378" w:right="504" w:hanging="1440"/>
      </w:pPr>
      <w:r>
        <w:rPr>
          <w:b/>
          <w:i/>
        </w:rPr>
        <w:t>Ingestion:</w:t>
        <w:tab/>
      </w:r>
      <w:r>
        <w:rPr/>
        <w:t>Product is not toxic if ingested. On ingestion, plenty of water or milk should be</w:t>
      </w:r>
      <w:r>
        <w:rPr>
          <w:spacing w:val="-34"/>
        </w:rPr>
        <w:t> </w:t>
      </w:r>
      <w:r>
        <w:rPr/>
        <w:t>drunk.</w:t>
      </w:r>
      <w:r>
        <w:rPr>
          <w:spacing w:val="-3"/>
        </w:rPr>
        <w:t> </w:t>
      </w:r>
      <w:r>
        <w:rPr/>
        <w:t>Should</w:t>
      </w:r>
      <w:r>
        <w:rPr>
          <w:w w:val="99"/>
        </w:rPr>
        <w:t> </w:t>
      </w:r>
      <w:r>
        <w:rPr/>
        <w:t>any discomfort occur, medical attention should be</w:t>
      </w:r>
      <w:r>
        <w:rPr>
          <w:spacing w:val="-22"/>
        </w:rPr>
        <w:t> </w:t>
      </w:r>
      <w:r>
        <w:rPr/>
        <w:t>sought.</w:t>
      </w:r>
    </w:p>
    <w:p>
      <w:pPr>
        <w:pStyle w:val="Heading1"/>
        <w:numPr>
          <w:ilvl w:val="1"/>
          <w:numId w:val="3"/>
        </w:numPr>
        <w:tabs>
          <w:tab w:pos="937" w:val="left" w:leader="none"/>
          <w:tab w:pos="939" w:val="left" w:leader="none"/>
        </w:tabs>
        <w:spacing w:line="240" w:lineRule="auto" w:before="166" w:after="0"/>
        <w:ind w:left="938" w:right="0" w:hanging="721"/>
        <w:jc w:val="left"/>
      </w:pPr>
      <w:r>
        <w:rPr/>
        <w:t>Most important symptoms and effects, both acute and</w:t>
      </w:r>
      <w:r>
        <w:rPr>
          <w:spacing w:val="-20"/>
        </w:rPr>
        <w:t> </w:t>
      </w:r>
      <w:r>
        <w:rPr/>
        <w:t>delayed</w:t>
      </w:r>
    </w:p>
    <w:p>
      <w:pPr>
        <w:pStyle w:val="BodyText"/>
        <w:spacing w:before="157"/>
        <w:ind w:left="938"/>
      </w:pPr>
      <w:r>
        <w:rPr/>
        <w:t>See 4.1. No information on any delayed effects.</w:t>
      </w:r>
    </w:p>
    <w:p>
      <w:pPr>
        <w:pStyle w:val="Heading1"/>
        <w:numPr>
          <w:ilvl w:val="1"/>
          <w:numId w:val="3"/>
        </w:numPr>
        <w:tabs>
          <w:tab w:pos="937" w:val="left" w:leader="none"/>
          <w:tab w:pos="939" w:val="left" w:leader="none"/>
        </w:tabs>
        <w:spacing w:line="240" w:lineRule="auto" w:before="166" w:after="0"/>
        <w:ind w:left="938" w:right="0" w:hanging="721"/>
        <w:jc w:val="left"/>
      </w:pPr>
      <w:r>
        <w:rPr/>
        <w:t>Indication of any immediate medical attention and special treatment</w:t>
      </w:r>
      <w:r>
        <w:rPr>
          <w:spacing w:val="-27"/>
        </w:rPr>
        <w:t> </w:t>
      </w:r>
      <w:r>
        <w:rPr/>
        <w:t>needed</w:t>
      </w:r>
    </w:p>
    <w:p>
      <w:pPr>
        <w:pStyle w:val="BodyText"/>
        <w:spacing w:before="154"/>
        <w:ind w:left="938"/>
      </w:pPr>
      <w:r>
        <w:rPr/>
        <w:t>Medical attention should be sought if any irritation or discomfort occurs.</w:t>
      </w:r>
    </w:p>
    <w:p>
      <w:pPr>
        <w:pStyle w:val="BodyText"/>
        <w:spacing w:before="2"/>
        <w:rPr>
          <w:sz w:val="11"/>
        </w:rPr>
      </w:pPr>
      <w:r>
        <w:rPr/>
        <w:pict>
          <v:shape style="position:absolute;margin-left:51.240002pt;margin-top:8.642982pt;width:509.65pt;height:14.05pt;mso-position-horizontal-relative:page;mso-position-vertical-relative:paragraph;z-index:1144;mso-wrap-distance-left:0;mso-wrap-distance-right:0" type="#_x0000_t202" filled="true" fillcolor="#daedf3" stroked="true" strokeweight=".48004pt" strokecolor="#000000">
            <v:textbox inset="0,0,0,0">
              <w:txbxContent>
                <w:p>
                  <w:pPr>
                    <w:tabs>
                      <w:tab w:pos="828" w:val="left" w:leader="none"/>
                    </w:tabs>
                    <w:spacing w:before="19"/>
                    <w:ind w:left="107" w:right="0" w:firstLine="0"/>
                    <w:jc w:val="left"/>
                    <w:rPr>
                      <w:b/>
                      <w:sz w:val="20"/>
                    </w:rPr>
                  </w:pPr>
                  <w:r>
                    <w:rPr>
                      <w:b/>
                      <w:sz w:val="20"/>
                    </w:rPr>
                    <w:t>5.0</w:t>
                    <w:tab/>
                    <w:t>FIRE FIGHTING</w:t>
                  </w:r>
                  <w:r>
                    <w:rPr>
                      <w:b/>
                      <w:spacing w:val="-10"/>
                      <w:sz w:val="20"/>
                    </w:rPr>
                    <w:t> </w:t>
                  </w:r>
                  <w:r>
                    <w:rPr>
                      <w:b/>
                      <w:sz w:val="20"/>
                    </w:rPr>
                    <w:t>MEASURES</w:t>
                  </w:r>
                </w:p>
              </w:txbxContent>
            </v:textbox>
            <v:fill type="solid"/>
            <v:stroke dashstyle="solid"/>
            <w10:wrap type="topAndBottom"/>
          </v:shape>
        </w:pict>
      </w:r>
    </w:p>
    <w:p>
      <w:pPr>
        <w:pStyle w:val="BodyText"/>
        <w:spacing w:before="5"/>
        <w:rPr>
          <w:sz w:val="9"/>
        </w:rPr>
      </w:pPr>
    </w:p>
    <w:p>
      <w:pPr>
        <w:pStyle w:val="ListParagraph"/>
        <w:numPr>
          <w:ilvl w:val="1"/>
          <w:numId w:val="4"/>
        </w:numPr>
        <w:tabs>
          <w:tab w:pos="937" w:val="left" w:leader="none"/>
          <w:tab w:pos="939" w:val="left" w:leader="none"/>
        </w:tabs>
        <w:spacing w:line="240" w:lineRule="auto" w:before="90" w:after="0"/>
        <w:ind w:left="938" w:right="0" w:hanging="721"/>
        <w:jc w:val="left"/>
        <w:rPr>
          <w:b/>
          <w:sz w:val="20"/>
        </w:rPr>
      </w:pPr>
      <w:r>
        <w:rPr>
          <w:b/>
          <w:sz w:val="20"/>
        </w:rPr>
        <w:t>Extinguishing</w:t>
      </w:r>
      <w:r>
        <w:rPr>
          <w:b/>
          <w:spacing w:val="-9"/>
          <w:sz w:val="20"/>
        </w:rPr>
        <w:t> </w:t>
      </w:r>
      <w:r>
        <w:rPr>
          <w:b/>
          <w:sz w:val="20"/>
        </w:rPr>
        <w:t>media</w:t>
      </w:r>
    </w:p>
    <w:p>
      <w:pPr>
        <w:pStyle w:val="BodyText"/>
        <w:spacing w:before="9"/>
        <w:rPr>
          <w:b/>
          <w:sz w:val="19"/>
        </w:rPr>
      </w:pPr>
    </w:p>
    <w:p>
      <w:pPr>
        <w:pStyle w:val="BodyText"/>
        <w:spacing w:line="230" w:lineRule="exact"/>
        <w:ind w:left="938"/>
      </w:pPr>
      <w:r>
        <w:rPr/>
        <w:t>Use appropriate media (water, foam, dry powder or CO</w:t>
      </w:r>
      <w:r>
        <w:rPr>
          <w:position w:val="-2"/>
          <w:sz w:val="13"/>
        </w:rPr>
        <w:t>2</w:t>
      </w:r>
      <w:r>
        <w:rPr/>
        <w:t>) for surrounding the fire. Note: Product can be slippery in liquid form or when in combination with water.</w:t>
      </w:r>
    </w:p>
    <w:p>
      <w:pPr>
        <w:pStyle w:val="BodyText"/>
      </w:pPr>
    </w:p>
    <w:p>
      <w:pPr>
        <w:pStyle w:val="Heading1"/>
        <w:numPr>
          <w:ilvl w:val="1"/>
          <w:numId w:val="4"/>
        </w:numPr>
        <w:tabs>
          <w:tab w:pos="937" w:val="left" w:leader="none"/>
          <w:tab w:pos="939" w:val="left" w:leader="none"/>
        </w:tabs>
        <w:spacing w:line="240" w:lineRule="auto" w:before="0" w:after="0"/>
        <w:ind w:left="938" w:right="0" w:hanging="721"/>
        <w:jc w:val="left"/>
      </w:pPr>
      <w:r>
        <w:rPr/>
        <w:t>Special hazards arising from the substance or</w:t>
      </w:r>
      <w:r>
        <w:rPr>
          <w:spacing w:val="-18"/>
        </w:rPr>
        <w:t> </w:t>
      </w:r>
      <w:r>
        <w:rPr/>
        <w:t>mixture</w:t>
      </w:r>
    </w:p>
    <w:p>
      <w:pPr>
        <w:pStyle w:val="BodyText"/>
        <w:spacing w:before="7"/>
        <w:rPr>
          <w:b/>
          <w:sz w:val="19"/>
        </w:rPr>
      </w:pPr>
    </w:p>
    <w:p>
      <w:pPr>
        <w:pStyle w:val="BodyText"/>
        <w:ind w:left="938"/>
      </w:pPr>
      <w:r>
        <w:rPr/>
        <w:t>No special hazards arising.</w:t>
      </w:r>
    </w:p>
    <w:p>
      <w:pPr>
        <w:pStyle w:val="BodyText"/>
        <w:spacing w:before="3"/>
      </w:pPr>
    </w:p>
    <w:p>
      <w:pPr>
        <w:pStyle w:val="Heading1"/>
        <w:numPr>
          <w:ilvl w:val="1"/>
          <w:numId w:val="4"/>
        </w:numPr>
        <w:tabs>
          <w:tab w:pos="937" w:val="left" w:leader="none"/>
          <w:tab w:pos="939" w:val="left" w:leader="none"/>
        </w:tabs>
        <w:spacing w:line="240" w:lineRule="auto" w:before="0" w:after="0"/>
        <w:ind w:left="938" w:right="0" w:hanging="721"/>
        <w:jc w:val="left"/>
      </w:pPr>
      <w:r>
        <w:rPr/>
        <w:t>Advice for</w:t>
      </w:r>
      <w:r>
        <w:rPr>
          <w:spacing w:val="-6"/>
        </w:rPr>
        <w:t> </w:t>
      </w:r>
      <w:r>
        <w:rPr/>
        <w:t>fire-fighters</w:t>
      </w:r>
    </w:p>
    <w:p>
      <w:pPr>
        <w:pStyle w:val="BodyText"/>
        <w:spacing w:before="7"/>
        <w:rPr>
          <w:b/>
          <w:sz w:val="19"/>
        </w:rPr>
      </w:pPr>
    </w:p>
    <w:p>
      <w:pPr>
        <w:pStyle w:val="BodyText"/>
        <w:ind w:left="938"/>
      </w:pPr>
      <w:r>
        <w:rPr/>
        <w:t>Please note, the product can become slippery when in liquid form or when in combination with water.</w:t>
      </w:r>
    </w:p>
    <w:p>
      <w:pPr>
        <w:pStyle w:val="BodyText"/>
        <w:spacing w:before="2"/>
        <w:rPr>
          <w:sz w:val="17"/>
        </w:rPr>
      </w:pPr>
      <w:r>
        <w:rPr/>
        <w:pict>
          <v:shape style="position:absolute;margin-left:51.240002pt;margin-top:12.096796pt;width:509.65pt;height:14.05pt;mso-position-horizontal-relative:page;mso-position-vertical-relative:paragraph;z-index:1168;mso-wrap-distance-left:0;mso-wrap-distance-right:0" type="#_x0000_t202" filled="true" fillcolor="#daedf3" stroked="true" strokeweight=".48004pt" strokecolor="#000000">
            <v:textbox inset="0,0,0,0">
              <w:txbxContent>
                <w:p>
                  <w:pPr>
                    <w:tabs>
                      <w:tab w:pos="828" w:val="left" w:leader="none"/>
                    </w:tabs>
                    <w:spacing w:before="19"/>
                    <w:ind w:left="107" w:right="0" w:firstLine="0"/>
                    <w:jc w:val="left"/>
                    <w:rPr>
                      <w:b/>
                      <w:sz w:val="20"/>
                    </w:rPr>
                  </w:pPr>
                  <w:r>
                    <w:rPr>
                      <w:b/>
                      <w:sz w:val="20"/>
                    </w:rPr>
                    <w:t>6.0</w:t>
                    <w:tab/>
                    <w:t>ACCIDENTAL RELEASE</w:t>
                  </w:r>
                  <w:r>
                    <w:rPr>
                      <w:b/>
                      <w:spacing w:val="-9"/>
                      <w:sz w:val="20"/>
                    </w:rPr>
                    <w:t> </w:t>
                  </w:r>
                  <w:r>
                    <w:rPr>
                      <w:b/>
                      <w:sz w:val="20"/>
                    </w:rPr>
                    <w:t>MEASURES</w:t>
                  </w:r>
                </w:p>
              </w:txbxContent>
            </v:textbox>
            <v:fill type="solid"/>
            <v:stroke dashstyle="solid"/>
            <w10:wrap type="topAndBottom"/>
          </v:shape>
        </w:pict>
      </w:r>
    </w:p>
    <w:p>
      <w:pPr>
        <w:pStyle w:val="BodyText"/>
        <w:spacing w:before="2"/>
        <w:rPr>
          <w:sz w:val="9"/>
        </w:rPr>
      </w:pPr>
    </w:p>
    <w:p>
      <w:pPr>
        <w:pStyle w:val="ListParagraph"/>
        <w:numPr>
          <w:ilvl w:val="1"/>
          <w:numId w:val="5"/>
        </w:numPr>
        <w:tabs>
          <w:tab w:pos="937" w:val="left" w:leader="none"/>
          <w:tab w:pos="939" w:val="left" w:leader="none"/>
        </w:tabs>
        <w:spacing w:line="240" w:lineRule="auto" w:before="91" w:after="0"/>
        <w:ind w:left="938" w:right="0" w:hanging="721"/>
        <w:jc w:val="left"/>
        <w:rPr>
          <w:b/>
          <w:sz w:val="20"/>
        </w:rPr>
      </w:pPr>
      <w:r>
        <w:rPr>
          <w:b/>
          <w:sz w:val="20"/>
        </w:rPr>
        <w:t>Personal precautions, protective equipment and emergency</w:t>
      </w:r>
      <w:r>
        <w:rPr>
          <w:b/>
          <w:spacing w:val="-19"/>
          <w:sz w:val="20"/>
        </w:rPr>
        <w:t> </w:t>
      </w:r>
      <w:r>
        <w:rPr>
          <w:b/>
          <w:sz w:val="20"/>
        </w:rPr>
        <w:t>procedures</w:t>
      </w:r>
    </w:p>
    <w:p>
      <w:pPr>
        <w:pStyle w:val="BodyText"/>
        <w:spacing w:before="7"/>
        <w:rPr>
          <w:b/>
          <w:sz w:val="19"/>
        </w:rPr>
      </w:pPr>
    </w:p>
    <w:p>
      <w:pPr>
        <w:pStyle w:val="BodyText"/>
        <w:ind w:left="938"/>
      </w:pPr>
      <w:r>
        <w:rPr/>
        <w:t>Gloves and eye protection should be worn when undertaking any clean up due to temporary staining.</w:t>
      </w:r>
    </w:p>
    <w:p>
      <w:pPr>
        <w:pStyle w:val="BodyText"/>
        <w:spacing w:before="5"/>
      </w:pPr>
    </w:p>
    <w:p>
      <w:pPr>
        <w:pStyle w:val="Heading1"/>
        <w:numPr>
          <w:ilvl w:val="1"/>
          <w:numId w:val="5"/>
        </w:numPr>
        <w:tabs>
          <w:tab w:pos="937" w:val="left" w:leader="none"/>
          <w:tab w:pos="939" w:val="left" w:leader="none"/>
        </w:tabs>
        <w:spacing w:line="240" w:lineRule="auto" w:before="0" w:after="0"/>
        <w:ind w:left="938" w:right="0" w:hanging="721"/>
        <w:jc w:val="left"/>
      </w:pPr>
      <w:r>
        <w:rPr/>
        <w:t>Environmental</w:t>
      </w:r>
      <w:r>
        <w:rPr>
          <w:spacing w:val="-8"/>
        </w:rPr>
        <w:t> </w:t>
      </w:r>
      <w:r>
        <w:rPr/>
        <w:t>precautions</w:t>
      </w:r>
    </w:p>
    <w:p>
      <w:pPr>
        <w:pStyle w:val="BodyText"/>
        <w:spacing w:before="4"/>
        <w:rPr>
          <w:b/>
          <w:sz w:val="19"/>
        </w:rPr>
      </w:pPr>
    </w:p>
    <w:p>
      <w:pPr>
        <w:pStyle w:val="BodyText"/>
        <w:ind w:left="938"/>
      </w:pPr>
      <w:r>
        <w:rPr/>
        <w:t>No specific precautions are required, as the product is not considered to pose an environmental hazard.</w:t>
      </w:r>
    </w:p>
    <w:p>
      <w:pPr>
        <w:pStyle w:val="BodyText"/>
        <w:spacing w:before="5"/>
      </w:pPr>
    </w:p>
    <w:p>
      <w:pPr>
        <w:pStyle w:val="Heading1"/>
        <w:numPr>
          <w:ilvl w:val="1"/>
          <w:numId w:val="5"/>
        </w:numPr>
        <w:tabs>
          <w:tab w:pos="937" w:val="left" w:leader="none"/>
          <w:tab w:pos="939" w:val="left" w:leader="none"/>
        </w:tabs>
        <w:spacing w:line="240" w:lineRule="auto" w:before="0" w:after="0"/>
        <w:ind w:left="938" w:right="0" w:hanging="721"/>
        <w:jc w:val="left"/>
      </w:pPr>
      <w:r>
        <w:rPr/>
        <w:t>Methods and material for containment and cleaning</w:t>
      </w:r>
      <w:r>
        <w:rPr>
          <w:spacing w:val="-10"/>
        </w:rPr>
        <w:t> </w:t>
      </w:r>
      <w:r>
        <w:rPr/>
        <w:t>up</w:t>
      </w:r>
    </w:p>
    <w:p>
      <w:pPr>
        <w:pStyle w:val="BodyText"/>
        <w:spacing w:before="6"/>
        <w:rPr>
          <w:b/>
          <w:sz w:val="19"/>
        </w:rPr>
      </w:pPr>
    </w:p>
    <w:p>
      <w:pPr>
        <w:pStyle w:val="BodyText"/>
        <w:spacing w:before="1"/>
        <w:ind w:left="938" w:right="754"/>
      </w:pPr>
      <w:r>
        <w:rPr/>
        <w:t>Spills may be easily cleaned by removing as much solid as possible and washing the spill area using copious amounts of water. Loose product should not be left on the floor in damp areas due to the product becoming slippery when in combination with water.</w:t>
      </w:r>
    </w:p>
    <w:p>
      <w:pPr>
        <w:pStyle w:val="BodyText"/>
        <w:spacing w:before="5"/>
      </w:pPr>
    </w:p>
    <w:p>
      <w:pPr>
        <w:pStyle w:val="Heading1"/>
        <w:numPr>
          <w:ilvl w:val="1"/>
          <w:numId w:val="5"/>
        </w:numPr>
        <w:tabs>
          <w:tab w:pos="937" w:val="left" w:leader="none"/>
          <w:tab w:pos="939" w:val="left" w:leader="none"/>
        </w:tabs>
        <w:spacing w:line="240" w:lineRule="auto" w:before="0" w:after="0"/>
        <w:ind w:left="938" w:right="0" w:hanging="721"/>
        <w:jc w:val="left"/>
      </w:pPr>
      <w:r>
        <w:rPr/>
        <w:t>Reference to other</w:t>
      </w:r>
      <w:r>
        <w:rPr>
          <w:spacing w:val="-7"/>
        </w:rPr>
        <w:t> </w:t>
      </w:r>
      <w:r>
        <w:rPr/>
        <w:t>sections</w:t>
      </w:r>
    </w:p>
    <w:p>
      <w:pPr>
        <w:pStyle w:val="BodyText"/>
        <w:spacing w:before="6"/>
        <w:rPr>
          <w:b/>
          <w:sz w:val="19"/>
        </w:rPr>
      </w:pPr>
    </w:p>
    <w:p>
      <w:pPr>
        <w:pStyle w:val="BodyText"/>
        <w:spacing w:before="1"/>
        <w:ind w:left="938"/>
      </w:pPr>
      <w:r>
        <w:rPr/>
        <w:t>Refer also to sections 8 and 13.</w:t>
      </w:r>
    </w:p>
    <w:p>
      <w:pPr>
        <w:spacing w:after="0"/>
        <w:sectPr>
          <w:footerReference w:type="default" r:id="rId7"/>
          <w:pgSz w:w="12240" w:h="15840"/>
          <w:pgMar w:footer="351" w:header="0" w:top="1380" w:bottom="540" w:left="920" w:right="920"/>
          <w:pgNumType w:start="2"/>
        </w:sectPr>
      </w:pPr>
    </w:p>
    <w:p>
      <w:pPr>
        <w:pStyle w:val="BodyText"/>
        <w:ind w:left="99"/>
      </w:pPr>
      <w:r>
        <w:rPr>
          <w:spacing w:val="-49"/>
        </w:rPr>
        <w:t> </w:t>
      </w:r>
      <w:r>
        <w:rPr>
          <w:spacing w:val="-49"/>
        </w:rPr>
        <w:pict>
          <v:shape style="width:509.65pt;height:14.05pt;mso-position-horizontal-relative:char;mso-position-vertical-relative:line" type="#_x0000_t202" filled="true" fillcolor="#daedf3" stroked="true" strokeweight=".48004pt" strokecolor="#000000">
            <w10:anchorlock/>
            <v:textbox inset="0,0,0,0">
              <w:txbxContent>
                <w:p>
                  <w:pPr>
                    <w:tabs>
                      <w:tab w:pos="828" w:val="left" w:leader="none"/>
                    </w:tabs>
                    <w:spacing w:before="19"/>
                    <w:ind w:left="107" w:right="0" w:firstLine="0"/>
                    <w:jc w:val="left"/>
                    <w:rPr>
                      <w:b/>
                      <w:sz w:val="20"/>
                    </w:rPr>
                  </w:pPr>
                  <w:r>
                    <w:rPr>
                      <w:b/>
                      <w:sz w:val="20"/>
                    </w:rPr>
                    <w:t>7.0</w:t>
                    <w:tab/>
                    <w:t>HANDLING AND</w:t>
                  </w:r>
                  <w:r>
                    <w:rPr>
                      <w:b/>
                      <w:spacing w:val="-9"/>
                      <w:sz w:val="20"/>
                    </w:rPr>
                    <w:t> </w:t>
                  </w:r>
                  <w:r>
                    <w:rPr>
                      <w:b/>
                      <w:sz w:val="20"/>
                    </w:rPr>
                    <w:t>STORAGE</w:t>
                  </w:r>
                </w:p>
              </w:txbxContent>
            </v:textbox>
            <v:fill type="solid"/>
            <v:stroke dashstyle="solid"/>
          </v:shape>
        </w:pict>
      </w:r>
      <w:r>
        <w:rPr>
          <w:spacing w:val="-49"/>
        </w:rPr>
      </w:r>
    </w:p>
    <w:p>
      <w:pPr>
        <w:pStyle w:val="BodyText"/>
        <w:spacing w:before="10"/>
        <w:rPr>
          <w:sz w:val="7"/>
        </w:rPr>
      </w:pPr>
    </w:p>
    <w:p>
      <w:pPr>
        <w:pStyle w:val="Heading1"/>
        <w:numPr>
          <w:ilvl w:val="1"/>
          <w:numId w:val="6"/>
        </w:numPr>
        <w:tabs>
          <w:tab w:pos="937" w:val="left" w:leader="none"/>
          <w:tab w:pos="939" w:val="left" w:leader="none"/>
        </w:tabs>
        <w:spacing w:line="240" w:lineRule="auto" w:before="91" w:after="0"/>
        <w:ind w:left="938" w:right="0" w:hanging="721"/>
        <w:jc w:val="left"/>
      </w:pPr>
      <w:r>
        <w:rPr/>
        <w:t>Precautions for safe</w:t>
      </w:r>
      <w:r>
        <w:rPr>
          <w:spacing w:val="-10"/>
        </w:rPr>
        <w:t> </w:t>
      </w:r>
      <w:r>
        <w:rPr/>
        <w:t>handling</w:t>
      </w:r>
    </w:p>
    <w:p>
      <w:pPr>
        <w:pStyle w:val="BodyText"/>
        <w:spacing w:before="4"/>
        <w:rPr>
          <w:b/>
          <w:sz w:val="19"/>
        </w:rPr>
      </w:pPr>
    </w:p>
    <w:p>
      <w:pPr>
        <w:pStyle w:val="BodyText"/>
        <w:ind w:left="938"/>
      </w:pPr>
      <w:r>
        <w:rPr/>
        <w:t>Avoid handling, as this may cause staining. Specific personal protective equipment is stated in section 8.</w:t>
      </w:r>
    </w:p>
    <w:p>
      <w:pPr>
        <w:pStyle w:val="BodyText"/>
        <w:spacing w:before="4"/>
      </w:pPr>
    </w:p>
    <w:p>
      <w:pPr>
        <w:pStyle w:val="Heading1"/>
        <w:numPr>
          <w:ilvl w:val="1"/>
          <w:numId w:val="6"/>
        </w:numPr>
        <w:tabs>
          <w:tab w:pos="937" w:val="left" w:leader="none"/>
          <w:tab w:pos="939" w:val="left" w:leader="none"/>
        </w:tabs>
        <w:spacing w:line="240" w:lineRule="auto" w:before="1" w:after="0"/>
        <w:ind w:left="938" w:right="0" w:hanging="721"/>
        <w:jc w:val="left"/>
      </w:pPr>
      <w:r>
        <w:rPr/>
        <w:t>Consideration for safe storage, including any</w:t>
      </w:r>
      <w:r>
        <w:rPr>
          <w:spacing w:val="-18"/>
        </w:rPr>
        <w:t> </w:t>
      </w:r>
      <w:r>
        <w:rPr/>
        <w:t>incompatibilities</w:t>
      </w:r>
    </w:p>
    <w:p>
      <w:pPr>
        <w:pStyle w:val="BodyText"/>
        <w:spacing w:before="7"/>
        <w:rPr>
          <w:b/>
          <w:sz w:val="19"/>
        </w:rPr>
      </w:pPr>
    </w:p>
    <w:p>
      <w:pPr>
        <w:pStyle w:val="BodyText"/>
        <w:ind w:left="938"/>
      </w:pPr>
      <w:r>
        <w:rPr/>
        <w:t>Store in a cool place and out of direct sunlight. Do not contaminate water, food or feed by storage or disposal.</w:t>
      </w:r>
    </w:p>
    <w:p>
      <w:pPr>
        <w:pStyle w:val="BodyText"/>
        <w:spacing w:before="2"/>
      </w:pPr>
    </w:p>
    <w:p>
      <w:pPr>
        <w:pStyle w:val="Heading1"/>
        <w:numPr>
          <w:ilvl w:val="1"/>
          <w:numId w:val="6"/>
        </w:numPr>
        <w:tabs>
          <w:tab w:pos="937" w:val="left" w:leader="none"/>
          <w:tab w:pos="939" w:val="left" w:leader="none"/>
        </w:tabs>
        <w:spacing w:line="240" w:lineRule="auto" w:before="0" w:after="0"/>
        <w:ind w:left="938" w:right="0" w:hanging="721"/>
        <w:jc w:val="left"/>
      </w:pPr>
      <w:r>
        <w:rPr/>
        <w:t>Specific end</w:t>
      </w:r>
      <w:r>
        <w:rPr>
          <w:spacing w:val="-7"/>
        </w:rPr>
        <w:t> </w:t>
      </w:r>
      <w:r>
        <w:rPr/>
        <w:t>uses</w:t>
      </w:r>
    </w:p>
    <w:p>
      <w:pPr>
        <w:pStyle w:val="BodyText"/>
        <w:spacing w:before="6"/>
        <w:rPr>
          <w:b/>
          <w:sz w:val="19"/>
        </w:rPr>
      </w:pPr>
    </w:p>
    <w:p>
      <w:pPr>
        <w:pStyle w:val="BodyText"/>
        <w:spacing w:before="1"/>
        <w:ind w:left="938"/>
      </w:pPr>
      <w:r>
        <w:rPr/>
        <w:t>Refer to subsection 1.2</w:t>
      </w:r>
    </w:p>
    <w:p>
      <w:pPr>
        <w:pStyle w:val="BodyText"/>
        <w:spacing w:before="2"/>
        <w:rPr>
          <w:sz w:val="17"/>
        </w:rPr>
      </w:pPr>
      <w:r>
        <w:rPr/>
        <w:pict>
          <v:shape style="position:absolute;margin-left:51.240002pt;margin-top:12.119488pt;width:509.65pt;height:13.95pt;mso-position-horizontal-relative:page;mso-position-vertical-relative:paragraph;z-index:1216;mso-wrap-distance-left:0;mso-wrap-distance-right:0" type="#_x0000_t202" filled="true" fillcolor="#daedf3" stroked="true" strokeweight=".48004pt" strokecolor="#000000">
            <v:textbox inset="0,0,0,0">
              <w:txbxContent>
                <w:p>
                  <w:pPr>
                    <w:tabs>
                      <w:tab w:pos="828" w:val="left" w:leader="none"/>
                    </w:tabs>
                    <w:spacing w:before="19"/>
                    <w:ind w:left="107" w:right="0" w:firstLine="0"/>
                    <w:jc w:val="left"/>
                    <w:rPr>
                      <w:b/>
                      <w:sz w:val="20"/>
                    </w:rPr>
                  </w:pPr>
                  <w:r>
                    <w:rPr>
                      <w:b/>
                      <w:sz w:val="20"/>
                    </w:rPr>
                    <w:t>8.0</w:t>
                    <w:tab/>
                    <w:t>EXPOSURE CONTROL / PERSONAL</w:t>
                  </w:r>
                  <w:r>
                    <w:rPr>
                      <w:b/>
                      <w:spacing w:val="-13"/>
                      <w:sz w:val="20"/>
                    </w:rPr>
                    <w:t> </w:t>
                  </w:r>
                  <w:r>
                    <w:rPr>
                      <w:b/>
                      <w:sz w:val="20"/>
                    </w:rPr>
                    <w:t>PROTECTION</w:t>
                  </w:r>
                </w:p>
              </w:txbxContent>
            </v:textbox>
            <v:fill type="solid"/>
            <v:stroke dashstyle="solid"/>
            <w10:wrap type="topAndBottom"/>
          </v:shape>
        </w:pict>
      </w:r>
    </w:p>
    <w:p>
      <w:pPr>
        <w:pStyle w:val="BodyText"/>
        <w:spacing w:before="5"/>
        <w:rPr>
          <w:sz w:val="9"/>
        </w:rPr>
      </w:pPr>
    </w:p>
    <w:p>
      <w:pPr>
        <w:pStyle w:val="ListParagraph"/>
        <w:numPr>
          <w:ilvl w:val="1"/>
          <w:numId w:val="7"/>
        </w:numPr>
        <w:tabs>
          <w:tab w:pos="937" w:val="left" w:leader="none"/>
          <w:tab w:pos="939" w:val="left" w:leader="none"/>
        </w:tabs>
        <w:spacing w:line="240" w:lineRule="auto" w:before="91" w:after="0"/>
        <w:ind w:left="938" w:right="0" w:hanging="721"/>
        <w:jc w:val="left"/>
        <w:rPr>
          <w:b/>
          <w:sz w:val="20"/>
        </w:rPr>
      </w:pPr>
      <w:r>
        <w:rPr>
          <w:b/>
          <w:sz w:val="20"/>
        </w:rPr>
        <w:t>Control</w:t>
      </w:r>
      <w:r>
        <w:rPr>
          <w:b/>
          <w:spacing w:val="-7"/>
          <w:sz w:val="20"/>
        </w:rPr>
        <w:t> </w:t>
      </w:r>
      <w:r>
        <w:rPr>
          <w:b/>
          <w:sz w:val="20"/>
        </w:rPr>
        <w:t>parameters</w:t>
      </w:r>
    </w:p>
    <w:p>
      <w:pPr>
        <w:pStyle w:val="BodyText"/>
        <w:spacing w:before="7"/>
        <w:rPr>
          <w:b/>
          <w:sz w:val="19"/>
        </w:rPr>
      </w:pPr>
    </w:p>
    <w:p>
      <w:pPr>
        <w:pStyle w:val="BodyText"/>
        <w:tabs>
          <w:tab w:pos="4538" w:val="left" w:leader="none"/>
        </w:tabs>
        <w:ind w:left="938"/>
      </w:pPr>
      <w:r>
        <w:rPr/>
        <w:t>Workplace</w:t>
      </w:r>
      <w:r>
        <w:rPr>
          <w:spacing w:val="-3"/>
        </w:rPr>
        <w:t> </w:t>
      </w:r>
      <w:r>
        <w:rPr/>
        <w:t>exposure</w:t>
      </w:r>
      <w:r>
        <w:rPr>
          <w:spacing w:val="-3"/>
        </w:rPr>
        <w:t> </w:t>
      </w:r>
      <w:r>
        <w:rPr/>
        <w:t>limits:</w:t>
        <w:tab/>
        <w:t>None</w:t>
      </w:r>
      <w:r>
        <w:rPr>
          <w:spacing w:val="-6"/>
        </w:rPr>
        <w:t> </w:t>
      </w:r>
      <w:r>
        <w:rPr/>
        <w:t>assigned</w:t>
      </w:r>
    </w:p>
    <w:p>
      <w:pPr>
        <w:pStyle w:val="BodyText"/>
        <w:tabs>
          <w:tab w:pos="4538" w:val="left" w:leader="none"/>
        </w:tabs>
        <w:ind w:left="938" w:right="4330"/>
      </w:pPr>
      <w:r>
        <w:rPr/>
        <w:t>DNEL (derived no</w:t>
      </w:r>
      <w:r>
        <w:rPr>
          <w:spacing w:val="-6"/>
        </w:rPr>
        <w:t> </w:t>
      </w:r>
      <w:r>
        <w:rPr/>
        <w:t>effect</w:t>
      </w:r>
      <w:r>
        <w:rPr>
          <w:spacing w:val="-3"/>
        </w:rPr>
        <w:t> </w:t>
      </w:r>
      <w:r>
        <w:rPr/>
        <w:t>level):</w:t>
        <w:tab/>
        <w:t>Not</w:t>
      </w:r>
      <w:r>
        <w:rPr>
          <w:spacing w:val="-3"/>
        </w:rPr>
        <w:t> </w:t>
      </w:r>
      <w:r>
        <w:rPr/>
        <w:t>yet</w:t>
      </w:r>
      <w:r>
        <w:rPr>
          <w:spacing w:val="-5"/>
        </w:rPr>
        <w:t> </w:t>
      </w:r>
      <w:r>
        <w:rPr/>
        <w:t>established</w:t>
      </w:r>
      <w:r>
        <w:rPr>
          <w:w w:val="99"/>
        </w:rPr>
        <w:t> </w:t>
      </w:r>
      <w:r>
        <w:rPr/>
        <w:t>PNEC (predicted no</w:t>
      </w:r>
      <w:r>
        <w:rPr>
          <w:spacing w:val="-9"/>
        </w:rPr>
        <w:t> </w:t>
      </w:r>
      <w:r>
        <w:rPr/>
        <w:t>effect</w:t>
      </w:r>
      <w:r>
        <w:rPr>
          <w:spacing w:val="-4"/>
        </w:rPr>
        <w:t> </w:t>
      </w:r>
      <w:r>
        <w:rPr/>
        <w:t>concentration):</w:t>
        <w:tab/>
        <w:t>Not yet</w:t>
      </w:r>
      <w:r>
        <w:rPr>
          <w:spacing w:val="-8"/>
        </w:rPr>
        <w:t> </w:t>
      </w:r>
      <w:r>
        <w:rPr/>
        <w:t>established</w:t>
      </w:r>
    </w:p>
    <w:p>
      <w:pPr>
        <w:pStyle w:val="BodyText"/>
        <w:spacing w:before="5"/>
      </w:pPr>
    </w:p>
    <w:p>
      <w:pPr>
        <w:pStyle w:val="Heading1"/>
        <w:numPr>
          <w:ilvl w:val="1"/>
          <w:numId w:val="7"/>
        </w:numPr>
        <w:tabs>
          <w:tab w:pos="937" w:val="left" w:leader="none"/>
          <w:tab w:pos="939" w:val="left" w:leader="none"/>
        </w:tabs>
        <w:spacing w:line="240" w:lineRule="auto" w:before="0" w:after="0"/>
        <w:ind w:left="938" w:right="0" w:hanging="721"/>
        <w:jc w:val="left"/>
      </w:pPr>
      <w:r>
        <w:rPr/>
        <w:t>Exposure</w:t>
      </w:r>
      <w:r>
        <w:rPr>
          <w:spacing w:val="-6"/>
        </w:rPr>
        <w:t> </w:t>
      </w:r>
      <w:r>
        <w:rPr/>
        <w:t>controls</w:t>
      </w:r>
    </w:p>
    <w:p>
      <w:pPr>
        <w:pStyle w:val="BodyText"/>
        <w:spacing w:before="7"/>
        <w:rPr>
          <w:b/>
          <w:sz w:val="19"/>
        </w:rPr>
      </w:pPr>
    </w:p>
    <w:p>
      <w:pPr>
        <w:pStyle w:val="BodyText"/>
        <w:ind w:left="938" w:right="323"/>
      </w:pPr>
      <w:r>
        <w:rPr>
          <w:b/>
          <w:i/>
        </w:rPr>
        <w:t>General: </w:t>
      </w:r>
      <w:r>
        <w:rPr/>
        <w:t>Check workplace instructions/procedures and risk assessments for any exposure control and personal protective equipment requirements (eg COSHH assessments). Exposure control measures and personal protective equipment specified in these risk assessments should take precedence over the more general recommendations below because they take into account highly variable factors specific to the workplace and activity concerned which cannot be anticipated in a safety data sheet. Otherwise:</w:t>
      </w:r>
    </w:p>
    <w:p>
      <w:pPr>
        <w:pStyle w:val="BodyText"/>
      </w:pPr>
    </w:p>
    <w:p>
      <w:pPr>
        <w:spacing w:before="0"/>
        <w:ind w:left="938" w:right="0" w:firstLine="0"/>
        <w:jc w:val="left"/>
        <w:rPr>
          <w:sz w:val="20"/>
        </w:rPr>
      </w:pPr>
      <w:r>
        <w:rPr>
          <w:b/>
          <w:i/>
          <w:sz w:val="20"/>
        </w:rPr>
        <w:t>Engineering controls:  </w:t>
      </w:r>
      <w:r>
        <w:rPr>
          <w:sz w:val="20"/>
        </w:rPr>
        <w:t>There are no specific ventilation requirements. Eyewash facilities should be available.</w:t>
      </w:r>
    </w:p>
    <w:p>
      <w:pPr>
        <w:pStyle w:val="BodyText"/>
        <w:spacing w:before="9"/>
        <w:rPr>
          <w:sz w:val="19"/>
        </w:rPr>
      </w:pPr>
    </w:p>
    <w:p>
      <w:pPr>
        <w:spacing w:before="0"/>
        <w:ind w:left="938" w:right="0" w:firstLine="0"/>
        <w:jc w:val="left"/>
        <w:rPr>
          <w:sz w:val="20"/>
        </w:rPr>
      </w:pPr>
      <w:r>
        <w:rPr>
          <w:b/>
          <w:i/>
          <w:sz w:val="20"/>
        </w:rPr>
        <w:t>Respiratory protection:  </w:t>
      </w:r>
      <w:r>
        <w:rPr>
          <w:sz w:val="20"/>
        </w:rPr>
        <w:t>No specific requirements.</w:t>
      </w:r>
    </w:p>
    <w:p>
      <w:pPr>
        <w:pStyle w:val="BodyText"/>
      </w:pPr>
    </w:p>
    <w:p>
      <w:pPr>
        <w:pStyle w:val="BodyText"/>
        <w:ind w:left="938"/>
      </w:pPr>
      <w:r>
        <w:rPr>
          <w:b/>
          <w:i/>
        </w:rPr>
        <w:t>Eye protection: </w:t>
      </w:r>
      <w:r>
        <w:rPr/>
        <w:t>Eye protection such as safety glasses should be worn when handling due to possible temporary staining.</w:t>
      </w:r>
    </w:p>
    <w:p>
      <w:pPr>
        <w:pStyle w:val="BodyText"/>
      </w:pPr>
    </w:p>
    <w:p>
      <w:pPr>
        <w:pStyle w:val="BodyText"/>
        <w:ind w:left="938" w:right="323"/>
      </w:pPr>
      <w:r>
        <w:rPr>
          <w:b/>
          <w:i/>
        </w:rPr>
        <w:t>Skin protection: </w:t>
      </w:r>
      <w:r>
        <w:rPr/>
        <w:t>Chemically resistant gloves, e.g. rubber, neoprene, butyl, PVC or nitrile, should be worn to protect against temporary staining.</w:t>
      </w:r>
    </w:p>
    <w:p>
      <w:pPr>
        <w:pStyle w:val="BodyText"/>
      </w:pPr>
    </w:p>
    <w:p>
      <w:pPr>
        <w:spacing w:before="0"/>
        <w:ind w:left="938" w:right="0" w:firstLine="0"/>
        <w:jc w:val="left"/>
        <w:rPr>
          <w:sz w:val="20"/>
        </w:rPr>
      </w:pPr>
      <w:r>
        <w:rPr>
          <w:b/>
          <w:i/>
          <w:sz w:val="20"/>
        </w:rPr>
        <w:t>Environmental:  </w:t>
      </w:r>
      <w:r>
        <w:rPr>
          <w:sz w:val="20"/>
        </w:rPr>
        <w:t>Refer to section 6.2.</w:t>
      </w:r>
    </w:p>
    <w:p>
      <w:pPr>
        <w:pStyle w:val="BodyText"/>
      </w:pPr>
    </w:p>
    <w:p>
      <w:pPr>
        <w:pStyle w:val="BodyText"/>
        <w:ind w:left="938"/>
      </w:pPr>
      <w:r>
        <w:rPr>
          <w:b/>
          <w:i/>
        </w:rPr>
        <w:t>General hygiene: </w:t>
      </w:r>
      <w:r>
        <w:rPr/>
        <w:t>Remove all protective equipment before eating, drinking or smoking, and before entering any ‘clean’ areas. Hands should be washed immediately after any contact with the product. All protective equipment should be cleaned before removal where practical and before re-use – if not possible, they should be disposed of as chemical waste (refer to section 13).</w:t>
      </w:r>
    </w:p>
    <w:p>
      <w:pPr>
        <w:spacing w:after="0"/>
        <w:sectPr>
          <w:pgSz w:w="12240" w:h="15840"/>
          <w:pgMar w:header="0" w:footer="351" w:top="1380" w:bottom="540" w:left="920" w:right="920"/>
        </w:sectPr>
      </w:pPr>
    </w:p>
    <w:p>
      <w:pPr>
        <w:pStyle w:val="BodyText"/>
        <w:ind w:left="99"/>
      </w:pPr>
      <w:r>
        <w:rPr>
          <w:spacing w:val="-49"/>
        </w:rPr>
        <w:t> </w:t>
      </w:r>
      <w:r>
        <w:rPr>
          <w:spacing w:val="-49"/>
        </w:rPr>
        <w:pict>
          <v:shape style="width:509.65pt;height:14.05pt;mso-position-horizontal-relative:char;mso-position-vertical-relative:line" type="#_x0000_t202" filled="true" fillcolor="#daedf3" stroked="true" strokeweight=".48004pt" strokecolor="#000000">
            <w10:anchorlock/>
            <v:textbox inset="0,0,0,0">
              <w:txbxContent>
                <w:p>
                  <w:pPr>
                    <w:tabs>
                      <w:tab w:pos="828" w:val="left" w:leader="none"/>
                    </w:tabs>
                    <w:spacing w:before="19"/>
                    <w:ind w:left="107" w:right="0" w:firstLine="0"/>
                    <w:jc w:val="left"/>
                    <w:rPr>
                      <w:b/>
                      <w:sz w:val="20"/>
                    </w:rPr>
                  </w:pPr>
                  <w:r>
                    <w:rPr>
                      <w:b/>
                      <w:sz w:val="20"/>
                    </w:rPr>
                    <w:t>9.0</w:t>
                    <w:tab/>
                    <w:t>PHYSICAL AND CHEMICAL</w:t>
                  </w:r>
                  <w:r>
                    <w:rPr>
                      <w:b/>
                      <w:spacing w:val="-13"/>
                      <w:sz w:val="20"/>
                    </w:rPr>
                    <w:t> </w:t>
                  </w:r>
                  <w:r>
                    <w:rPr>
                      <w:b/>
                      <w:sz w:val="20"/>
                    </w:rPr>
                    <w:t>PROPERTIES</w:t>
                  </w:r>
                </w:p>
              </w:txbxContent>
            </v:textbox>
            <v:fill type="solid"/>
            <v:stroke dashstyle="solid"/>
          </v:shape>
        </w:pict>
      </w:r>
      <w:r>
        <w:rPr>
          <w:spacing w:val="-49"/>
        </w:rPr>
      </w:r>
    </w:p>
    <w:p>
      <w:pPr>
        <w:pStyle w:val="BodyText"/>
        <w:spacing w:before="8"/>
        <w:rPr>
          <w:sz w:val="8"/>
        </w:rPr>
      </w:pPr>
    </w:p>
    <w:p>
      <w:pPr>
        <w:pStyle w:val="Heading1"/>
        <w:numPr>
          <w:ilvl w:val="1"/>
          <w:numId w:val="8"/>
        </w:numPr>
        <w:tabs>
          <w:tab w:pos="937" w:val="left" w:leader="none"/>
          <w:tab w:pos="939" w:val="left" w:leader="none"/>
        </w:tabs>
        <w:spacing w:line="240" w:lineRule="auto" w:before="91" w:after="0"/>
        <w:ind w:left="938" w:right="0" w:hanging="721"/>
        <w:jc w:val="left"/>
      </w:pPr>
      <w:r>
        <w:rPr/>
        <w:t>Information on basic physical and chemical</w:t>
      </w:r>
      <w:r>
        <w:rPr>
          <w:spacing w:val="-19"/>
        </w:rPr>
        <w:t> </w:t>
      </w:r>
      <w:r>
        <w:rPr/>
        <w:t>properties</w:t>
      </w:r>
    </w:p>
    <w:p>
      <w:pPr>
        <w:pStyle w:val="BodyText"/>
        <w:spacing w:before="2"/>
        <w:rPr>
          <w:b/>
        </w:rPr>
      </w:pPr>
    </w:p>
    <w:tbl>
      <w:tblPr>
        <w:tblW w:w="0" w:type="auto"/>
        <w:jc w:val="left"/>
        <w:tblInd w:w="9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404"/>
        <w:gridCol w:w="852"/>
        <w:gridCol w:w="4818"/>
      </w:tblGrid>
      <w:tr>
        <w:trPr>
          <w:trHeight w:val="240" w:hRule="exact"/>
        </w:trPr>
        <w:tc>
          <w:tcPr>
            <w:tcW w:w="3404" w:type="dxa"/>
          </w:tcPr>
          <w:p>
            <w:pPr>
              <w:pStyle w:val="TableParagraph"/>
              <w:ind w:left="105"/>
              <w:rPr>
                <w:sz w:val="20"/>
              </w:rPr>
            </w:pPr>
            <w:r>
              <w:rPr>
                <w:sz w:val="20"/>
              </w:rPr>
              <w:t>Appearance</w:t>
            </w:r>
          </w:p>
        </w:tc>
        <w:tc>
          <w:tcPr>
            <w:tcW w:w="852" w:type="dxa"/>
          </w:tcPr>
          <w:p>
            <w:pPr/>
          </w:p>
        </w:tc>
        <w:tc>
          <w:tcPr>
            <w:tcW w:w="4818" w:type="dxa"/>
          </w:tcPr>
          <w:p>
            <w:pPr>
              <w:pStyle w:val="TableParagraph"/>
              <w:rPr>
                <w:sz w:val="20"/>
              </w:rPr>
            </w:pPr>
            <w:r>
              <w:rPr>
                <w:sz w:val="20"/>
              </w:rPr>
              <w:t>Black powder</w:t>
            </w:r>
          </w:p>
        </w:tc>
      </w:tr>
      <w:tr>
        <w:trPr>
          <w:trHeight w:val="240" w:hRule="exact"/>
        </w:trPr>
        <w:tc>
          <w:tcPr>
            <w:tcW w:w="3404" w:type="dxa"/>
          </w:tcPr>
          <w:p>
            <w:pPr>
              <w:pStyle w:val="TableParagraph"/>
              <w:ind w:left="105"/>
              <w:rPr>
                <w:sz w:val="20"/>
              </w:rPr>
            </w:pPr>
            <w:r>
              <w:rPr>
                <w:sz w:val="20"/>
              </w:rPr>
              <w:t>Odour</w:t>
            </w:r>
          </w:p>
        </w:tc>
        <w:tc>
          <w:tcPr>
            <w:tcW w:w="852" w:type="dxa"/>
          </w:tcPr>
          <w:p>
            <w:pPr/>
          </w:p>
        </w:tc>
        <w:tc>
          <w:tcPr>
            <w:tcW w:w="4818" w:type="dxa"/>
          </w:tcPr>
          <w:p>
            <w:pPr>
              <w:pStyle w:val="TableParagraph"/>
              <w:rPr>
                <w:sz w:val="20"/>
              </w:rPr>
            </w:pPr>
            <w:r>
              <w:rPr>
                <w:sz w:val="20"/>
              </w:rPr>
              <w:t>Marine-like</w:t>
            </w:r>
          </w:p>
        </w:tc>
      </w:tr>
      <w:tr>
        <w:trPr>
          <w:trHeight w:val="240" w:hRule="exact"/>
        </w:trPr>
        <w:tc>
          <w:tcPr>
            <w:tcW w:w="3404" w:type="dxa"/>
          </w:tcPr>
          <w:p>
            <w:pPr>
              <w:pStyle w:val="TableParagraph"/>
              <w:ind w:left="105"/>
              <w:rPr>
                <w:sz w:val="20"/>
              </w:rPr>
            </w:pPr>
            <w:r>
              <w:rPr>
                <w:sz w:val="20"/>
              </w:rPr>
              <w:t>pH</w:t>
            </w:r>
          </w:p>
        </w:tc>
        <w:tc>
          <w:tcPr>
            <w:tcW w:w="852" w:type="dxa"/>
          </w:tcPr>
          <w:p>
            <w:pPr/>
          </w:p>
        </w:tc>
        <w:tc>
          <w:tcPr>
            <w:tcW w:w="4818" w:type="dxa"/>
          </w:tcPr>
          <w:p>
            <w:pPr>
              <w:pStyle w:val="TableParagraph"/>
              <w:rPr>
                <w:sz w:val="20"/>
              </w:rPr>
            </w:pPr>
            <w:r>
              <w:rPr>
                <w:sz w:val="20"/>
              </w:rPr>
              <w:t>10 – 10.5</w:t>
            </w:r>
          </w:p>
        </w:tc>
      </w:tr>
      <w:tr>
        <w:trPr>
          <w:trHeight w:val="240" w:hRule="exact"/>
        </w:trPr>
        <w:tc>
          <w:tcPr>
            <w:tcW w:w="3404" w:type="dxa"/>
          </w:tcPr>
          <w:p>
            <w:pPr>
              <w:pStyle w:val="TableParagraph"/>
              <w:ind w:left="105"/>
              <w:rPr>
                <w:sz w:val="20"/>
              </w:rPr>
            </w:pPr>
            <w:r>
              <w:rPr>
                <w:sz w:val="20"/>
              </w:rPr>
              <w:t>Melting point</w:t>
            </w:r>
          </w:p>
        </w:tc>
        <w:tc>
          <w:tcPr>
            <w:tcW w:w="852" w:type="dxa"/>
          </w:tcPr>
          <w:p>
            <w:pPr>
              <w:pStyle w:val="TableParagraph"/>
              <w:ind w:left="294" w:right="294"/>
              <w:jc w:val="center"/>
              <w:rPr>
                <w:sz w:val="20"/>
              </w:rPr>
            </w:pPr>
            <w:r>
              <w:rPr>
                <w:sz w:val="20"/>
              </w:rPr>
              <w:t>°C</w:t>
            </w:r>
          </w:p>
        </w:tc>
        <w:tc>
          <w:tcPr>
            <w:tcW w:w="4818" w:type="dxa"/>
          </w:tcPr>
          <w:p>
            <w:pPr>
              <w:pStyle w:val="TableParagraph"/>
              <w:rPr>
                <w:sz w:val="20"/>
              </w:rPr>
            </w:pPr>
            <w:r>
              <w:rPr>
                <w:sz w:val="20"/>
              </w:rPr>
              <w:t>Not determined</w:t>
            </w:r>
          </w:p>
        </w:tc>
      </w:tr>
      <w:tr>
        <w:trPr>
          <w:trHeight w:val="240" w:hRule="exact"/>
        </w:trPr>
        <w:tc>
          <w:tcPr>
            <w:tcW w:w="3404" w:type="dxa"/>
          </w:tcPr>
          <w:p>
            <w:pPr>
              <w:pStyle w:val="TableParagraph"/>
              <w:ind w:left="105"/>
              <w:rPr>
                <w:sz w:val="20"/>
              </w:rPr>
            </w:pPr>
            <w:r>
              <w:rPr>
                <w:sz w:val="20"/>
              </w:rPr>
              <w:t>Initial boiling point</w:t>
            </w:r>
          </w:p>
        </w:tc>
        <w:tc>
          <w:tcPr>
            <w:tcW w:w="852" w:type="dxa"/>
          </w:tcPr>
          <w:p>
            <w:pPr>
              <w:pStyle w:val="TableParagraph"/>
              <w:ind w:left="294" w:right="294"/>
              <w:jc w:val="center"/>
              <w:rPr>
                <w:sz w:val="20"/>
              </w:rPr>
            </w:pPr>
            <w:r>
              <w:rPr>
                <w:sz w:val="20"/>
              </w:rPr>
              <w:t>°C</w:t>
            </w:r>
          </w:p>
        </w:tc>
        <w:tc>
          <w:tcPr>
            <w:tcW w:w="4818" w:type="dxa"/>
          </w:tcPr>
          <w:p>
            <w:pPr>
              <w:pStyle w:val="TableParagraph"/>
              <w:rPr>
                <w:sz w:val="20"/>
              </w:rPr>
            </w:pPr>
            <w:r>
              <w:rPr>
                <w:sz w:val="20"/>
              </w:rPr>
              <w:t>Not determined</w:t>
            </w:r>
          </w:p>
        </w:tc>
      </w:tr>
      <w:tr>
        <w:trPr>
          <w:trHeight w:val="240" w:hRule="exact"/>
        </w:trPr>
        <w:tc>
          <w:tcPr>
            <w:tcW w:w="3404" w:type="dxa"/>
          </w:tcPr>
          <w:p>
            <w:pPr>
              <w:pStyle w:val="TableParagraph"/>
              <w:ind w:left="105"/>
              <w:rPr>
                <w:sz w:val="20"/>
              </w:rPr>
            </w:pPr>
            <w:r>
              <w:rPr>
                <w:sz w:val="20"/>
              </w:rPr>
              <w:t>Boiling range</w:t>
            </w:r>
          </w:p>
        </w:tc>
        <w:tc>
          <w:tcPr>
            <w:tcW w:w="852" w:type="dxa"/>
          </w:tcPr>
          <w:p>
            <w:pPr>
              <w:pStyle w:val="TableParagraph"/>
              <w:ind w:left="294" w:right="294"/>
              <w:jc w:val="center"/>
              <w:rPr>
                <w:sz w:val="20"/>
              </w:rPr>
            </w:pPr>
            <w:r>
              <w:rPr>
                <w:sz w:val="20"/>
              </w:rPr>
              <w:t>°C</w:t>
            </w:r>
          </w:p>
        </w:tc>
        <w:tc>
          <w:tcPr>
            <w:tcW w:w="4818" w:type="dxa"/>
          </w:tcPr>
          <w:p>
            <w:pPr>
              <w:pStyle w:val="TableParagraph"/>
              <w:rPr>
                <w:sz w:val="20"/>
              </w:rPr>
            </w:pPr>
            <w:r>
              <w:rPr>
                <w:sz w:val="20"/>
              </w:rPr>
              <w:t>Not determined</w:t>
            </w:r>
          </w:p>
        </w:tc>
      </w:tr>
      <w:tr>
        <w:trPr>
          <w:trHeight w:val="240" w:hRule="exact"/>
        </w:trPr>
        <w:tc>
          <w:tcPr>
            <w:tcW w:w="3404" w:type="dxa"/>
          </w:tcPr>
          <w:p>
            <w:pPr>
              <w:pStyle w:val="TableParagraph"/>
              <w:ind w:left="105"/>
              <w:rPr>
                <w:sz w:val="20"/>
              </w:rPr>
            </w:pPr>
            <w:r>
              <w:rPr>
                <w:sz w:val="20"/>
              </w:rPr>
              <w:t>Evaporation rate</w:t>
            </w:r>
          </w:p>
        </w:tc>
        <w:tc>
          <w:tcPr>
            <w:tcW w:w="852" w:type="dxa"/>
          </w:tcPr>
          <w:p>
            <w:pPr/>
          </w:p>
        </w:tc>
        <w:tc>
          <w:tcPr>
            <w:tcW w:w="4818" w:type="dxa"/>
          </w:tcPr>
          <w:p>
            <w:pPr>
              <w:pStyle w:val="TableParagraph"/>
              <w:rPr>
                <w:sz w:val="20"/>
              </w:rPr>
            </w:pPr>
            <w:r>
              <w:rPr>
                <w:sz w:val="20"/>
              </w:rPr>
              <w:t>Not determined</w:t>
            </w:r>
          </w:p>
        </w:tc>
      </w:tr>
      <w:tr>
        <w:trPr>
          <w:trHeight w:val="240" w:hRule="exact"/>
        </w:trPr>
        <w:tc>
          <w:tcPr>
            <w:tcW w:w="3404" w:type="dxa"/>
          </w:tcPr>
          <w:p>
            <w:pPr>
              <w:pStyle w:val="TableParagraph"/>
              <w:ind w:left="105"/>
              <w:rPr>
                <w:sz w:val="20"/>
              </w:rPr>
            </w:pPr>
            <w:r>
              <w:rPr>
                <w:sz w:val="20"/>
              </w:rPr>
              <w:t>Bulk density</w:t>
            </w:r>
          </w:p>
        </w:tc>
        <w:tc>
          <w:tcPr>
            <w:tcW w:w="852" w:type="dxa"/>
          </w:tcPr>
          <w:p>
            <w:pPr>
              <w:pStyle w:val="TableParagraph"/>
              <w:ind w:left="0" w:right="191"/>
              <w:jc w:val="right"/>
              <w:rPr>
                <w:sz w:val="13"/>
              </w:rPr>
            </w:pPr>
            <w:r>
              <w:rPr>
                <w:sz w:val="20"/>
              </w:rPr>
              <w:t>g/cm</w:t>
            </w:r>
            <w:r>
              <w:rPr>
                <w:position w:val="9"/>
                <w:sz w:val="13"/>
              </w:rPr>
              <w:t>3</w:t>
            </w:r>
          </w:p>
        </w:tc>
        <w:tc>
          <w:tcPr>
            <w:tcW w:w="4818" w:type="dxa"/>
          </w:tcPr>
          <w:p>
            <w:pPr>
              <w:pStyle w:val="TableParagraph"/>
              <w:rPr>
                <w:sz w:val="20"/>
              </w:rPr>
            </w:pPr>
            <w:r>
              <w:rPr>
                <w:sz w:val="20"/>
              </w:rPr>
              <w:t>0.65</w:t>
            </w:r>
          </w:p>
        </w:tc>
      </w:tr>
      <w:tr>
        <w:trPr>
          <w:trHeight w:val="240" w:hRule="exact"/>
        </w:trPr>
        <w:tc>
          <w:tcPr>
            <w:tcW w:w="3404" w:type="dxa"/>
          </w:tcPr>
          <w:p>
            <w:pPr>
              <w:pStyle w:val="TableParagraph"/>
              <w:ind w:left="105"/>
              <w:rPr>
                <w:sz w:val="20"/>
              </w:rPr>
            </w:pPr>
            <w:r>
              <w:rPr>
                <w:sz w:val="20"/>
              </w:rPr>
              <w:t>Vapour density</w:t>
            </w:r>
          </w:p>
        </w:tc>
        <w:tc>
          <w:tcPr>
            <w:tcW w:w="852" w:type="dxa"/>
          </w:tcPr>
          <w:p>
            <w:pPr>
              <w:pStyle w:val="TableParagraph"/>
              <w:ind w:left="0" w:right="158"/>
              <w:jc w:val="right"/>
              <w:rPr>
                <w:sz w:val="20"/>
              </w:rPr>
            </w:pPr>
            <w:r>
              <w:rPr>
                <w:sz w:val="20"/>
              </w:rPr>
              <w:t>air = 1</w:t>
            </w:r>
          </w:p>
        </w:tc>
        <w:tc>
          <w:tcPr>
            <w:tcW w:w="4818" w:type="dxa"/>
          </w:tcPr>
          <w:p>
            <w:pPr>
              <w:pStyle w:val="TableParagraph"/>
              <w:rPr>
                <w:sz w:val="20"/>
              </w:rPr>
            </w:pPr>
            <w:r>
              <w:rPr>
                <w:sz w:val="20"/>
              </w:rPr>
              <w:t>Not determined</w:t>
            </w:r>
          </w:p>
        </w:tc>
      </w:tr>
      <w:tr>
        <w:trPr>
          <w:trHeight w:val="240" w:hRule="exact"/>
        </w:trPr>
        <w:tc>
          <w:tcPr>
            <w:tcW w:w="3404" w:type="dxa"/>
          </w:tcPr>
          <w:p>
            <w:pPr>
              <w:pStyle w:val="TableParagraph"/>
              <w:ind w:left="105"/>
              <w:rPr>
                <w:sz w:val="20"/>
              </w:rPr>
            </w:pPr>
            <w:r>
              <w:rPr>
                <w:sz w:val="20"/>
              </w:rPr>
              <w:t>Vapour pressure</w:t>
            </w:r>
          </w:p>
        </w:tc>
        <w:tc>
          <w:tcPr>
            <w:tcW w:w="852" w:type="dxa"/>
          </w:tcPr>
          <w:p>
            <w:pPr>
              <w:pStyle w:val="TableParagraph"/>
              <w:ind w:left="0" w:right="119"/>
              <w:jc w:val="right"/>
              <w:rPr>
                <w:sz w:val="20"/>
              </w:rPr>
            </w:pPr>
            <w:r>
              <w:rPr>
                <w:sz w:val="20"/>
              </w:rPr>
              <w:t>mm Hg</w:t>
            </w:r>
          </w:p>
        </w:tc>
        <w:tc>
          <w:tcPr>
            <w:tcW w:w="4818" w:type="dxa"/>
          </w:tcPr>
          <w:p>
            <w:pPr>
              <w:pStyle w:val="TableParagraph"/>
              <w:rPr>
                <w:sz w:val="20"/>
              </w:rPr>
            </w:pPr>
            <w:r>
              <w:rPr>
                <w:sz w:val="20"/>
              </w:rPr>
              <w:t>Not determined</w:t>
            </w:r>
          </w:p>
        </w:tc>
      </w:tr>
      <w:tr>
        <w:trPr>
          <w:trHeight w:val="240" w:hRule="exact"/>
        </w:trPr>
        <w:tc>
          <w:tcPr>
            <w:tcW w:w="3404" w:type="dxa"/>
          </w:tcPr>
          <w:p>
            <w:pPr>
              <w:pStyle w:val="TableParagraph"/>
              <w:ind w:left="105"/>
              <w:rPr>
                <w:sz w:val="20"/>
              </w:rPr>
            </w:pPr>
            <w:r>
              <w:rPr>
                <w:sz w:val="20"/>
              </w:rPr>
              <w:t>Viscosity</w:t>
            </w:r>
          </w:p>
        </w:tc>
        <w:tc>
          <w:tcPr>
            <w:tcW w:w="852" w:type="dxa"/>
          </w:tcPr>
          <w:p>
            <w:pPr>
              <w:pStyle w:val="TableParagraph"/>
              <w:ind w:left="259"/>
              <w:rPr>
                <w:sz w:val="20"/>
              </w:rPr>
            </w:pPr>
            <w:r>
              <w:rPr>
                <w:sz w:val="20"/>
              </w:rPr>
              <w:t>cp/s</w:t>
            </w:r>
          </w:p>
        </w:tc>
        <w:tc>
          <w:tcPr>
            <w:tcW w:w="4818" w:type="dxa"/>
          </w:tcPr>
          <w:p>
            <w:pPr>
              <w:pStyle w:val="TableParagraph"/>
              <w:rPr>
                <w:sz w:val="20"/>
              </w:rPr>
            </w:pPr>
            <w:r>
              <w:rPr>
                <w:sz w:val="20"/>
              </w:rPr>
              <w:t>N/A</w:t>
            </w:r>
          </w:p>
        </w:tc>
      </w:tr>
      <w:tr>
        <w:trPr>
          <w:trHeight w:val="240" w:hRule="exact"/>
        </w:trPr>
        <w:tc>
          <w:tcPr>
            <w:tcW w:w="3404" w:type="dxa"/>
          </w:tcPr>
          <w:p>
            <w:pPr>
              <w:pStyle w:val="TableParagraph"/>
              <w:ind w:left="105"/>
              <w:rPr>
                <w:sz w:val="20"/>
              </w:rPr>
            </w:pPr>
            <w:r>
              <w:rPr>
                <w:sz w:val="20"/>
              </w:rPr>
              <w:t>Autoignition temperature</w:t>
            </w:r>
          </w:p>
        </w:tc>
        <w:tc>
          <w:tcPr>
            <w:tcW w:w="852" w:type="dxa"/>
          </w:tcPr>
          <w:p>
            <w:pPr>
              <w:pStyle w:val="TableParagraph"/>
              <w:ind w:left="294" w:right="294"/>
              <w:jc w:val="center"/>
              <w:rPr>
                <w:sz w:val="20"/>
              </w:rPr>
            </w:pPr>
            <w:r>
              <w:rPr>
                <w:sz w:val="20"/>
              </w:rPr>
              <w:t>°C</w:t>
            </w:r>
          </w:p>
        </w:tc>
        <w:tc>
          <w:tcPr>
            <w:tcW w:w="4818" w:type="dxa"/>
          </w:tcPr>
          <w:p>
            <w:pPr>
              <w:pStyle w:val="TableParagraph"/>
              <w:rPr>
                <w:sz w:val="20"/>
              </w:rPr>
            </w:pPr>
            <w:r>
              <w:rPr>
                <w:sz w:val="20"/>
              </w:rPr>
              <w:t>550</w:t>
            </w:r>
          </w:p>
        </w:tc>
      </w:tr>
      <w:tr>
        <w:trPr>
          <w:trHeight w:val="240" w:hRule="exact"/>
        </w:trPr>
        <w:tc>
          <w:tcPr>
            <w:tcW w:w="3404" w:type="dxa"/>
          </w:tcPr>
          <w:p>
            <w:pPr>
              <w:pStyle w:val="TableParagraph"/>
              <w:ind w:left="105"/>
              <w:rPr>
                <w:sz w:val="20"/>
              </w:rPr>
            </w:pPr>
            <w:r>
              <w:rPr>
                <w:sz w:val="20"/>
              </w:rPr>
              <w:t>Decomposition temperature</w:t>
            </w:r>
          </w:p>
        </w:tc>
        <w:tc>
          <w:tcPr>
            <w:tcW w:w="852" w:type="dxa"/>
          </w:tcPr>
          <w:p>
            <w:pPr>
              <w:pStyle w:val="TableParagraph"/>
              <w:ind w:left="294" w:right="294"/>
              <w:jc w:val="center"/>
              <w:rPr>
                <w:sz w:val="20"/>
              </w:rPr>
            </w:pPr>
            <w:r>
              <w:rPr>
                <w:sz w:val="20"/>
              </w:rPr>
              <w:t>°C</w:t>
            </w:r>
          </w:p>
        </w:tc>
        <w:tc>
          <w:tcPr>
            <w:tcW w:w="4818" w:type="dxa"/>
          </w:tcPr>
          <w:p>
            <w:pPr>
              <w:pStyle w:val="TableParagraph"/>
              <w:rPr>
                <w:sz w:val="20"/>
              </w:rPr>
            </w:pPr>
            <w:r>
              <w:rPr>
                <w:sz w:val="20"/>
              </w:rPr>
              <w:t>Not determined</w:t>
            </w:r>
          </w:p>
        </w:tc>
      </w:tr>
      <w:tr>
        <w:trPr>
          <w:trHeight w:val="241" w:hRule="exact"/>
        </w:trPr>
        <w:tc>
          <w:tcPr>
            <w:tcW w:w="3404" w:type="dxa"/>
          </w:tcPr>
          <w:p>
            <w:pPr>
              <w:pStyle w:val="TableParagraph"/>
              <w:spacing w:line="224" w:lineRule="exact"/>
              <w:ind w:left="105"/>
              <w:rPr>
                <w:sz w:val="20"/>
              </w:rPr>
            </w:pPr>
            <w:r>
              <w:rPr>
                <w:sz w:val="20"/>
              </w:rPr>
              <w:t>Flash point</w:t>
            </w:r>
          </w:p>
        </w:tc>
        <w:tc>
          <w:tcPr>
            <w:tcW w:w="852" w:type="dxa"/>
          </w:tcPr>
          <w:p>
            <w:pPr>
              <w:pStyle w:val="TableParagraph"/>
              <w:spacing w:line="224" w:lineRule="exact"/>
              <w:ind w:left="294" w:right="294"/>
              <w:jc w:val="center"/>
              <w:rPr>
                <w:sz w:val="20"/>
              </w:rPr>
            </w:pPr>
            <w:r>
              <w:rPr>
                <w:sz w:val="20"/>
              </w:rPr>
              <w:t>°C</w:t>
            </w:r>
          </w:p>
        </w:tc>
        <w:tc>
          <w:tcPr>
            <w:tcW w:w="4818" w:type="dxa"/>
          </w:tcPr>
          <w:p>
            <w:pPr>
              <w:pStyle w:val="TableParagraph"/>
              <w:spacing w:line="224" w:lineRule="exact"/>
              <w:rPr>
                <w:sz w:val="20"/>
              </w:rPr>
            </w:pPr>
            <w:r>
              <w:rPr>
                <w:sz w:val="20"/>
              </w:rPr>
              <w:t>N/A</w:t>
            </w:r>
          </w:p>
        </w:tc>
      </w:tr>
      <w:tr>
        <w:trPr>
          <w:trHeight w:val="240" w:hRule="exact"/>
        </w:trPr>
        <w:tc>
          <w:tcPr>
            <w:tcW w:w="3404" w:type="dxa"/>
          </w:tcPr>
          <w:p>
            <w:pPr>
              <w:pStyle w:val="TableParagraph"/>
              <w:ind w:left="105"/>
              <w:rPr>
                <w:sz w:val="20"/>
              </w:rPr>
            </w:pPr>
            <w:r>
              <w:rPr>
                <w:sz w:val="20"/>
              </w:rPr>
              <w:t>Flammability (solid, gas)</w:t>
            </w:r>
          </w:p>
        </w:tc>
        <w:tc>
          <w:tcPr>
            <w:tcW w:w="852" w:type="dxa"/>
          </w:tcPr>
          <w:p>
            <w:pPr/>
          </w:p>
        </w:tc>
        <w:tc>
          <w:tcPr>
            <w:tcW w:w="4818" w:type="dxa"/>
          </w:tcPr>
          <w:p>
            <w:pPr>
              <w:pStyle w:val="TableParagraph"/>
              <w:rPr>
                <w:sz w:val="20"/>
              </w:rPr>
            </w:pPr>
            <w:r>
              <w:rPr>
                <w:sz w:val="20"/>
              </w:rPr>
              <w:t>Not determined</w:t>
            </w:r>
          </w:p>
        </w:tc>
      </w:tr>
      <w:tr>
        <w:trPr>
          <w:trHeight w:val="240" w:hRule="exact"/>
        </w:trPr>
        <w:tc>
          <w:tcPr>
            <w:tcW w:w="3404" w:type="dxa"/>
          </w:tcPr>
          <w:p>
            <w:pPr>
              <w:pStyle w:val="TableParagraph"/>
              <w:ind w:left="105"/>
              <w:rPr>
                <w:sz w:val="20"/>
              </w:rPr>
            </w:pPr>
            <w:r>
              <w:rPr>
                <w:sz w:val="20"/>
              </w:rPr>
              <w:t>Flammability limits in air</w:t>
            </w:r>
          </w:p>
        </w:tc>
        <w:tc>
          <w:tcPr>
            <w:tcW w:w="852" w:type="dxa"/>
          </w:tcPr>
          <w:p>
            <w:pPr>
              <w:pStyle w:val="TableParagraph"/>
              <w:ind w:left="0"/>
              <w:jc w:val="center"/>
              <w:rPr>
                <w:sz w:val="20"/>
              </w:rPr>
            </w:pPr>
            <w:r>
              <w:rPr>
                <w:w w:val="99"/>
                <w:sz w:val="20"/>
              </w:rPr>
              <w:t>%</w:t>
            </w:r>
          </w:p>
        </w:tc>
        <w:tc>
          <w:tcPr>
            <w:tcW w:w="4818" w:type="dxa"/>
          </w:tcPr>
          <w:p>
            <w:pPr>
              <w:pStyle w:val="TableParagraph"/>
              <w:rPr>
                <w:sz w:val="20"/>
              </w:rPr>
            </w:pPr>
            <w:r>
              <w:rPr>
                <w:sz w:val="20"/>
              </w:rPr>
              <w:t>Not determined</w:t>
            </w:r>
          </w:p>
        </w:tc>
      </w:tr>
      <w:tr>
        <w:trPr>
          <w:trHeight w:val="240" w:hRule="exact"/>
        </w:trPr>
        <w:tc>
          <w:tcPr>
            <w:tcW w:w="3404" w:type="dxa"/>
          </w:tcPr>
          <w:p>
            <w:pPr>
              <w:pStyle w:val="TableParagraph"/>
              <w:ind w:left="105"/>
              <w:rPr>
                <w:sz w:val="20"/>
              </w:rPr>
            </w:pPr>
            <w:r>
              <w:rPr>
                <w:sz w:val="20"/>
              </w:rPr>
              <w:t>Explosivity limits in air</w:t>
            </w:r>
          </w:p>
        </w:tc>
        <w:tc>
          <w:tcPr>
            <w:tcW w:w="852" w:type="dxa"/>
          </w:tcPr>
          <w:p>
            <w:pPr>
              <w:pStyle w:val="TableParagraph"/>
              <w:ind w:left="0"/>
              <w:jc w:val="center"/>
              <w:rPr>
                <w:sz w:val="20"/>
              </w:rPr>
            </w:pPr>
            <w:r>
              <w:rPr>
                <w:w w:val="99"/>
                <w:sz w:val="20"/>
              </w:rPr>
              <w:t>%</w:t>
            </w:r>
          </w:p>
        </w:tc>
        <w:tc>
          <w:tcPr>
            <w:tcW w:w="4818" w:type="dxa"/>
          </w:tcPr>
          <w:p>
            <w:pPr>
              <w:pStyle w:val="TableParagraph"/>
              <w:rPr>
                <w:sz w:val="20"/>
              </w:rPr>
            </w:pPr>
            <w:r>
              <w:rPr>
                <w:sz w:val="20"/>
              </w:rPr>
              <w:t>Not determined</w:t>
            </w:r>
          </w:p>
        </w:tc>
      </w:tr>
      <w:tr>
        <w:trPr>
          <w:trHeight w:val="240" w:hRule="exact"/>
        </w:trPr>
        <w:tc>
          <w:tcPr>
            <w:tcW w:w="3404" w:type="dxa"/>
          </w:tcPr>
          <w:p>
            <w:pPr>
              <w:pStyle w:val="TableParagraph"/>
              <w:ind w:left="105"/>
              <w:rPr>
                <w:sz w:val="20"/>
              </w:rPr>
            </w:pPr>
            <w:r>
              <w:rPr>
                <w:sz w:val="20"/>
              </w:rPr>
              <w:t>Explosive potential</w:t>
            </w:r>
          </w:p>
        </w:tc>
        <w:tc>
          <w:tcPr>
            <w:tcW w:w="852" w:type="dxa"/>
          </w:tcPr>
          <w:p>
            <w:pPr/>
          </w:p>
        </w:tc>
        <w:tc>
          <w:tcPr>
            <w:tcW w:w="4818" w:type="dxa"/>
          </w:tcPr>
          <w:p>
            <w:pPr>
              <w:pStyle w:val="TableParagraph"/>
              <w:rPr>
                <w:sz w:val="20"/>
              </w:rPr>
            </w:pPr>
            <w:r>
              <w:rPr>
                <w:sz w:val="20"/>
              </w:rPr>
              <w:t>Not determined</w:t>
            </w:r>
          </w:p>
        </w:tc>
      </w:tr>
      <w:tr>
        <w:trPr>
          <w:trHeight w:val="240" w:hRule="exact"/>
        </w:trPr>
        <w:tc>
          <w:tcPr>
            <w:tcW w:w="3404" w:type="dxa"/>
          </w:tcPr>
          <w:p>
            <w:pPr>
              <w:pStyle w:val="TableParagraph"/>
              <w:ind w:left="105"/>
              <w:rPr>
                <w:sz w:val="20"/>
              </w:rPr>
            </w:pPr>
            <w:r>
              <w:rPr>
                <w:sz w:val="20"/>
              </w:rPr>
              <w:t>Oxidising potential</w:t>
            </w:r>
          </w:p>
        </w:tc>
        <w:tc>
          <w:tcPr>
            <w:tcW w:w="852" w:type="dxa"/>
          </w:tcPr>
          <w:p>
            <w:pPr/>
          </w:p>
        </w:tc>
        <w:tc>
          <w:tcPr>
            <w:tcW w:w="4818" w:type="dxa"/>
          </w:tcPr>
          <w:p>
            <w:pPr>
              <w:pStyle w:val="TableParagraph"/>
              <w:rPr>
                <w:sz w:val="20"/>
              </w:rPr>
            </w:pPr>
            <w:r>
              <w:rPr>
                <w:sz w:val="20"/>
              </w:rPr>
              <w:t>Not determined</w:t>
            </w:r>
          </w:p>
        </w:tc>
      </w:tr>
      <w:tr>
        <w:trPr>
          <w:trHeight w:val="240" w:hRule="exact"/>
        </w:trPr>
        <w:tc>
          <w:tcPr>
            <w:tcW w:w="3404" w:type="dxa"/>
          </w:tcPr>
          <w:p>
            <w:pPr>
              <w:pStyle w:val="TableParagraph"/>
              <w:ind w:left="105"/>
              <w:rPr>
                <w:sz w:val="20"/>
              </w:rPr>
            </w:pPr>
            <w:r>
              <w:rPr>
                <w:sz w:val="20"/>
              </w:rPr>
              <w:t>Solubility in water</w:t>
            </w:r>
          </w:p>
        </w:tc>
        <w:tc>
          <w:tcPr>
            <w:tcW w:w="852" w:type="dxa"/>
          </w:tcPr>
          <w:p>
            <w:pPr/>
          </w:p>
        </w:tc>
        <w:tc>
          <w:tcPr>
            <w:tcW w:w="4818" w:type="dxa"/>
          </w:tcPr>
          <w:p>
            <w:pPr>
              <w:pStyle w:val="TableParagraph"/>
              <w:rPr>
                <w:sz w:val="20"/>
              </w:rPr>
            </w:pPr>
            <w:r>
              <w:rPr>
                <w:sz w:val="20"/>
              </w:rPr>
              <w:t>Fully soluble</w:t>
            </w:r>
          </w:p>
        </w:tc>
      </w:tr>
      <w:tr>
        <w:trPr>
          <w:trHeight w:val="240" w:hRule="exact"/>
        </w:trPr>
        <w:tc>
          <w:tcPr>
            <w:tcW w:w="3404" w:type="dxa"/>
          </w:tcPr>
          <w:p>
            <w:pPr>
              <w:pStyle w:val="TableParagraph"/>
              <w:ind w:left="105"/>
              <w:rPr>
                <w:sz w:val="20"/>
              </w:rPr>
            </w:pPr>
            <w:r>
              <w:rPr>
                <w:sz w:val="20"/>
              </w:rPr>
              <w:t>Solubility in other</w:t>
            </w:r>
          </w:p>
        </w:tc>
        <w:tc>
          <w:tcPr>
            <w:tcW w:w="852" w:type="dxa"/>
          </w:tcPr>
          <w:p>
            <w:pPr>
              <w:pStyle w:val="TableParagraph"/>
              <w:ind w:left="237"/>
              <w:rPr>
                <w:sz w:val="20"/>
              </w:rPr>
            </w:pPr>
            <w:r>
              <w:rPr>
                <w:sz w:val="20"/>
              </w:rPr>
              <w:t>g/ml</w:t>
            </w:r>
          </w:p>
        </w:tc>
        <w:tc>
          <w:tcPr>
            <w:tcW w:w="4818" w:type="dxa"/>
          </w:tcPr>
          <w:p>
            <w:pPr>
              <w:pStyle w:val="TableParagraph"/>
              <w:rPr>
                <w:sz w:val="20"/>
              </w:rPr>
            </w:pPr>
            <w:r>
              <w:rPr>
                <w:sz w:val="20"/>
              </w:rPr>
              <w:t>Not determined</w:t>
            </w:r>
          </w:p>
        </w:tc>
      </w:tr>
      <w:tr>
        <w:trPr>
          <w:trHeight w:val="240" w:hRule="exact"/>
        </w:trPr>
        <w:tc>
          <w:tcPr>
            <w:tcW w:w="3404" w:type="dxa"/>
          </w:tcPr>
          <w:p>
            <w:pPr>
              <w:pStyle w:val="TableParagraph"/>
              <w:ind w:left="105"/>
              <w:rPr>
                <w:sz w:val="20"/>
              </w:rPr>
            </w:pPr>
            <w:r>
              <w:rPr>
                <w:sz w:val="20"/>
              </w:rPr>
              <w:t>Log water/octanol partition coefficient</w:t>
            </w:r>
          </w:p>
        </w:tc>
        <w:tc>
          <w:tcPr>
            <w:tcW w:w="852" w:type="dxa"/>
          </w:tcPr>
          <w:p>
            <w:pPr/>
          </w:p>
        </w:tc>
        <w:tc>
          <w:tcPr>
            <w:tcW w:w="4818" w:type="dxa"/>
          </w:tcPr>
          <w:p>
            <w:pPr>
              <w:pStyle w:val="TableParagraph"/>
              <w:rPr>
                <w:sz w:val="20"/>
              </w:rPr>
            </w:pPr>
            <w:r>
              <w:rPr>
                <w:sz w:val="20"/>
              </w:rPr>
              <w:t>Not determined</w:t>
            </w:r>
          </w:p>
        </w:tc>
      </w:tr>
    </w:tbl>
    <w:p>
      <w:pPr>
        <w:pStyle w:val="BodyText"/>
        <w:spacing w:before="10"/>
        <w:rPr>
          <w:b/>
          <w:sz w:val="19"/>
        </w:rPr>
      </w:pPr>
    </w:p>
    <w:p>
      <w:pPr>
        <w:pStyle w:val="ListParagraph"/>
        <w:numPr>
          <w:ilvl w:val="1"/>
          <w:numId w:val="8"/>
        </w:numPr>
        <w:tabs>
          <w:tab w:pos="937" w:val="left" w:leader="none"/>
          <w:tab w:pos="939" w:val="left" w:leader="none"/>
        </w:tabs>
        <w:spacing w:line="240" w:lineRule="auto" w:before="0" w:after="0"/>
        <w:ind w:left="938" w:right="0" w:hanging="721"/>
        <w:jc w:val="left"/>
        <w:rPr>
          <w:b/>
          <w:sz w:val="20"/>
        </w:rPr>
      </w:pPr>
      <w:r>
        <w:rPr>
          <w:b/>
          <w:sz w:val="20"/>
        </w:rPr>
        <w:t>Other</w:t>
      </w:r>
      <w:r>
        <w:rPr>
          <w:b/>
          <w:spacing w:val="-9"/>
          <w:sz w:val="20"/>
        </w:rPr>
        <w:t> </w:t>
      </w:r>
      <w:r>
        <w:rPr>
          <w:b/>
          <w:sz w:val="20"/>
        </w:rPr>
        <w:t>information</w:t>
      </w:r>
    </w:p>
    <w:p>
      <w:pPr>
        <w:pStyle w:val="BodyText"/>
        <w:spacing w:before="7"/>
        <w:rPr>
          <w:b/>
          <w:sz w:val="19"/>
        </w:rPr>
      </w:pPr>
    </w:p>
    <w:p>
      <w:pPr>
        <w:pStyle w:val="BodyText"/>
        <w:ind w:left="938" w:right="689"/>
      </w:pPr>
      <w:r>
        <w:rPr/>
        <w:t>No data available on fat solubility, conductivity, redox potential, radical formation potential or photocatalytic properties.</w:t>
      </w:r>
    </w:p>
    <w:p>
      <w:pPr>
        <w:pStyle w:val="BodyText"/>
        <w:spacing w:before="2"/>
        <w:rPr>
          <w:sz w:val="17"/>
        </w:rPr>
      </w:pPr>
      <w:r>
        <w:rPr/>
        <w:pict>
          <v:shape style="position:absolute;margin-left:51.240002pt;margin-top:12.089979pt;width:509.65pt;height:14.1pt;mso-position-horizontal-relative:page;mso-position-vertical-relative:paragraph;z-index:1264;mso-wrap-distance-left:0;mso-wrap-distance-right:0" type="#_x0000_t202" filled="true" fillcolor="#daedf3" stroked="true" strokeweight=".48004pt" strokecolor="#000000">
            <v:textbox inset="0,0,0,0">
              <w:txbxContent>
                <w:p>
                  <w:pPr>
                    <w:tabs>
                      <w:tab w:pos="828" w:val="left" w:leader="none"/>
                    </w:tabs>
                    <w:spacing w:before="20"/>
                    <w:ind w:left="107" w:right="0" w:firstLine="0"/>
                    <w:jc w:val="left"/>
                    <w:rPr>
                      <w:b/>
                      <w:sz w:val="20"/>
                    </w:rPr>
                  </w:pPr>
                  <w:r>
                    <w:rPr>
                      <w:b/>
                      <w:sz w:val="20"/>
                    </w:rPr>
                    <w:t>10.0</w:t>
                    <w:tab/>
                    <w:t>STABILITY AND</w:t>
                  </w:r>
                  <w:r>
                    <w:rPr>
                      <w:b/>
                      <w:spacing w:val="-12"/>
                      <w:sz w:val="20"/>
                    </w:rPr>
                    <w:t> </w:t>
                  </w:r>
                  <w:r>
                    <w:rPr>
                      <w:b/>
                      <w:sz w:val="20"/>
                    </w:rPr>
                    <w:t>REACTIVITY</w:t>
                  </w:r>
                </w:p>
              </w:txbxContent>
            </v:textbox>
            <v:fill type="solid"/>
            <v:stroke dashstyle="solid"/>
            <w10:wrap type="topAndBottom"/>
          </v:shape>
        </w:pict>
      </w:r>
    </w:p>
    <w:p>
      <w:pPr>
        <w:pStyle w:val="BodyText"/>
        <w:spacing w:before="5"/>
        <w:rPr>
          <w:sz w:val="9"/>
        </w:rPr>
      </w:pPr>
    </w:p>
    <w:p>
      <w:pPr>
        <w:pStyle w:val="ListParagraph"/>
        <w:numPr>
          <w:ilvl w:val="1"/>
          <w:numId w:val="9"/>
        </w:numPr>
        <w:tabs>
          <w:tab w:pos="937" w:val="left" w:leader="none"/>
          <w:tab w:pos="939" w:val="left" w:leader="none"/>
        </w:tabs>
        <w:spacing w:line="240" w:lineRule="auto" w:before="90" w:after="0"/>
        <w:ind w:left="938" w:right="0" w:hanging="721"/>
        <w:jc w:val="left"/>
        <w:rPr>
          <w:b/>
          <w:sz w:val="20"/>
        </w:rPr>
      </w:pPr>
      <w:r>
        <w:rPr>
          <w:b/>
          <w:sz w:val="20"/>
        </w:rPr>
        <w:t>Reactivity</w:t>
      </w:r>
    </w:p>
    <w:p>
      <w:pPr>
        <w:pStyle w:val="BodyText"/>
        <w:spacing w:before="107"/>
        <w:ind w:left="938"/>
      </w:pPr>
      <w:r>
        <w:rPr/>
        <w:t>Product is not reactive under normal circumstances.</w:t>
      </w:r>
    </w:p>
    <w:p>
      <w:pPr>
        <w:pStyle w:val="BodyText"/>
        <w:spacing w:before="5"/>
      </w:pPr>
    </w:p>
    <w:p>
      <w:pPr>
        <w:pStyle w:val="Heading1"/>
        <w:numPr>
          <w:ilvl w:val="1"/>
          <w:numId w:val="9"/>
        </w:numPr>
        <w:tabs>
          <w:tab w:pos="937" w:val="left" w:leader="none"/>
          <w:tab w:pos="939" w:val="left" w:leader="none"/>
        </w:tabs>
        <w:spacing w:line="240" w:lineRule="auto" w:before="0" w:after="0"/>
        <w:ind w:left="938" w:right="0" w:hanging="721"/>
        <w:jc w:val="left"/>
      </w:pPr>
      <w:r>
        <w:rPr/>
        <w:t>Chemical</w:t>
      </w:r>
      <w:r>
        <w:rPr>
          <w:spacing w:val="-8"/>
        </w:rPr>
        <w:t> </w:t>
      </w:r>
      <w:r>
        <w:rPr/>
        <w:t>stability</w:t>
      </w:r>
    </w:p>
    <w:p>
      <w:pPr>
        <w:pStyle w:val="BodyText"/>
        <w:spacing w:before="7"/>
        <w:rPr>
          <w:b/>
          <w:sz w:val="19"/>
        </w:rPr>
      </w:pPr>
    </w:p>
    <w:p>
      <w:pPr>
        <w:pStyle w:val="BodyText"/>
        <w:ind w:left="938"/>
      </w:pPr>
      <w:r>
        <w:rPr/>
        <w:t>Product is stable under normal circumstances. Oxidants and acids can cause degradation of the product.</w:t>
      </w:r>
    </w:p>
    <w:p>
      <w:pPr>
        <w:pStyle w:val="BodyText"/>
        <w:spacing w:before="2"/>
      </w:pPr>
    </w:p>
    <w:p>
      <w:pPr>
        <w:pStyle w:val="Heading1"/>
        <w:numPr>
          <w:ilvl w:val="1"/>
          <w:numId w:val="9"/>
        </w:numPr>
        <w:tabs>
          <w:tab w:pos="937" w:val="left" w:leader="none"/>
          <w:tab w:pos="939" w:val="left" w:leader="none"/>
        </w:tabs>
        <w:spacing w:line="240" w:lineRule="auto" w:before="0" w:after="0"/>
        <w:ind w:left="938" w:right="0" w:hanging="721"/>
        <w:jc w:val="left"/>
      </w:pPr>
      <w:r>
        <w:rPr/>
        <w:t>Possibility of hazardous</w:t>
      </w:r>
      <w:r>
        <w:rPr>
          <w:spacing w:val="-9"/>
        </w:rPr>
        <w:t> </w:t>
      </w:r>
      <w:r>
        <w:rPr/>
        <w:t>reactions</w:t>
      </w:r>
    </w:p>
    <w:p>
      <w:pPr>
        <w:pStyle w:val="BodyText"/>
        <w:spacing w:before="6"/>
        <w:rPr>
          <w:b/>
          <w:sz w:val="19"/>
        </w:rPr>
      </w:pPr>
    </w:p>
    <w:p>
      <w:pPr>
        <w:pStyle w:val="BodyText"/>
        <w:spacing w:before="1"/>
        <w:ind w:left="938"/>
      </w:pPr>
      <w:r>
        <w:rPr/>
        <w:t>Product is not reported to undergo hazardous reactions.</w:t>
      </w:r>
    </w:p>
    <w:p>
      <w:pPr>
        <w:pStyle w:val="BodyText"/>
        <w:spacing w:before="5"/>
      </w:pPr>
    </w:p>
    <w:p>
      <w:pPr>
        <w:pStyle w:val="Heading1"/>
        <w:numPr>
          <w:ilvl w:val="1"/>
          <w:numId w:val="9"/>
        </w:numPr>
        <w:tabs>
          <w:tab w:pos="937" w:val="left" w:leader="none"/>
          <w:tab w:pos="939" w:val="left" w:leader="none"/>
        </w:tabs>
        <w:spacing w:line="240" w:lineRule="auto" w:before="1" w:after="0"/>
        <w:ind w:left="938" w:right="0" w:hanging="721"/>
        <w:jc w:val="left"/>
      </w:pPr>
      <w:r>
        <w:rPr/>
        <w:t>Conditions to</w:t>
      </w:r>
      <w:r>
        <w:rPr>
          <w:spacing w:val="-4"/>
        </w:rPr>
        <w:t> </w:t>
      </w:r>
      <w:r>
        <w:rPr/>
        <w:t>avoid</w:t>
      </w:r>
    </w:p>
    <w:p>
      <w:pPr>
        <w:pStyle w:val="BodyText"/>
        <w:spacing w:before="5"/>
        <w:rPr>
          <w:b/>
          <w:sz w:val="19"/>
        </w:rPr>
      </w:pPr>
    </w:p>
    <w:p>
      <w:pPr>
        <w:pStyle w:val="BodyText"/>
        <w:spacing w:before="1"/>
        <w:ind w:left="938"/>
      </w:pPr>
      <w:r>
        <w:rPr/>
        <w:t>Oxidants and acids may cause degradation of the product.</w:t>
      </w:r>
    </w:p>
    <w:p>
      <w:pPr>
        <w:pStyle w:val="BodyText"/>
        <w:spacing w:before="5"/>
      </w:pPr>
    </w:p>
    <w:p>
      <w:pPr>
        <w:pStyle w:val="Heading1"/>
        <w:numPr>
          <w:ilvl w:val="1"/>
          <w:numId w:val="9"/>
        </w:numPr>
        <w:tabs>
          <w:tab w:pos="937" w:val="left" w:leader="none"/>
          <w:tab w:pos="939" w:val="left" w:leader="none"/>
        </w:tabs>
        <w:spacing w:line="240" w:lineRule="auto" w:before="0" w:after="0"/>
        <w:ind w:left="938" w:right="0" w:hanging="721"/>
        <w:jc w:val="left"/>
      </w:pPr>
      <w:r>
        <w:rPr/>
        <w:t>Incompatible</w:t>
      </w:r>
      <w:r>
        <w:rPr>
          <w:spacing w:val="-10"/>
        </w:rPr>
        <w:t> </w:t>
      </w:r>
      <w:r>
        <w:rPr/>
        <w:t>materials</w:t>
      </w:r>
    </w:p>
    <w:p>
      <w:pPr>
        <w:pStyle w:val="BodyText"/>
        <w:spacing w:before="6"/>
        <w:rPr>
          <w:b/>
          <w:sz w:val="19"/>
        </w:rPr>
      </w:pPr>
    </w:p>
    <w:p>
      <w:pPr>
        <w:pStyle w:val="BodyText"/>
        <w:spacing w:before="1"/>
        <w:ind w:left="938"/>
      </w:pPr>
      <w:r>
        <w:rPr/>
        <w:t>Oxidants and acids may cause degradation of the product.</w:t>
      </w:r>
    </w:p>
    <w:p>
      <w:pPr>
        <w:pStyle w:val="BodyText"/>
        <w:spacing w:before="3"/>
      </w:pPr>
    </w:p>
    <w:p>
      <w:pPr>
        <w:pStyle w:val="Heading1"/>
        <w:numPr>
          <w:ilvl w:val="1"/>
          <w:numId w:val="9"/>
        </w:numPr>
        <w:tabs>
          <w:tab w:pos="937" w:val="left" w:leader="none"/>
          <w:tab w:pos="939" w:val="left" w:leader="none"/>
        </w:tabs>
        <w:spacing w:line="240" w:lineRule="auto" w:before="0" w:after="0"/>
        <w:ind w:left="938" w:right="0" w:hanging="721"/>
        <w:jc w:val="left"/>
      </w:pPr>
      <w:r>
        <w:rPr/>
        <w:t>Hazardous decomposition</w:t>
      </w:r>
      <w:r>
        <w:rPr>
          <w:spacing w:val="-10"/>
        </w:rPr>
        <w:t> </w:t>
      </w:r>
      <w:r>
        <w:rPr/>
        <w:t>products</w:t>
      </w:r>
    </w:p>
    <w:p>
      <w:pPr>
        <w:pStyle w:val="BodyText"/>
        <w:spacing w:before="7"/>
        <w:rPr>
          <w:b/>
          <w:sz w:val="19"/>
        </w:rPr>
      </w:pPr>
    </w:p>
    <w:p>
      <w:pPr>
        <w:pStyle w:val="BodyText"/>
        <w:ind w:left="938"/>
      </w:pPr>
      <w:r>
        <w:rPr/>
        <w:t>Not applicable.</w:t>
      </w:r>
    </w:p>
    <w:p>
      <w:pPr>
        <w:spacing w:after="0"/>
        <w:sectPr>
          <w:pgSz w:w="12240" w:h="15840"/>
          <w:pgMar w:header="0" w:footer="351" w:top="1160" w:bottom="540" w:left="920" w:right="920"/>
        </w:sectPr>
      </w:pPr>
    </w:p>
    <w:p>
      <w:pPr>
        <w:pStyle w:val="BodyText"/>
        <w:ind w:left="99"/>
      </w:pPr>
      <w:r>
        <w:rPr>
          <w:spacing w:val="-49"/>
        </w:rPr>
        <w:t> </w:t>
      </w:r>
      <w:r>
        <w:rPr>
          <w:spacing w:val="-49"/>
        </w:rPr>
        <w:pict>
          <v:shape style="width:509.65pt;height:14.05pt;mso-position-horizontal-relative:char;mso-position-vertical-relative:line" type="#_x0000_t202" filled="true" fillcolor="#daedf3" stroked="true" strokeweight=".48004pt" strokecolor="#000000">
            <w10:anchorlock/>
            <v:textbox inset="0,0,0,0">
              <w:txbxContent>
                <w:p>
                  <w:pPr>
                    <w:tabs>
                      <w:tab w:pos="828" w:val="left" w:leader="none"/>
                    </w:tabs>
                    <w:spacing w:before="19"/>
                    <w:ind w:left="107" w:right="0" w:firstLine="0"/>
                    <w:jc w:val="left"/>
                    <w:rPr>
                      <w:b/>
                      <w:sz w:val="20"/>
                    </w:rPr>
                  </w:pPr>
                  <w:r>
                    <w:rPr>
                      <w:b/>
                      <w:sz w:val="20"/>
                    </w:rPr>
                    <w:t>11.0</w:t>
                    <w:tab/>
                    <w:t>TOXICOLOGICAL</w:t>
                  </w:r>
                  <w:r>
                    <w:rPr>
                      <w:b/>
                      <w:spacing w:val="-11"/>
                      <w:sz w:val="20"/>
                    </w:rPr>
                    <w:t> </w:t>
                  </w:r>
                  <w:r>
                    <w:rPr>
                      <w:b/>
                      <w:sz w:val="20"/>
                    </w:rPr>
                    <w:t>INFORMATION</w:t>
                  </w:r>
                </w:p>
              </w:txbxContent>
            </v:textbox>
            <v:fill type="solid"/>
            <v:stroke dashstyle="solid"/>
          </v:shape>
        </w:pict>
      </w:r>
      <w:r>
        <w:rPr>
          <w:spacing w:val="-49"/>
        </w:rPr>
      </w:r>
    </w:p>
    <w:p>
      <w:pPr>
        <w:pStyle w:val="BodyText"/>
        <w:spacing w:before="10"/>
        <w:rPr>
          <w:sz w:val="7"/>
        </w:rPr>
      </w:pPr>
    </w:p>
    <w:p>
      <w:pPr>
        <w:pStyle w:val="Heading1"/>
        <w:tabs>
          <w:tab w:pos="937" w:val="left" w:leader="none"/>
        </w:tabs>
        <w:spacing w:before="91"/>
        <w:ind w:right="6445"/>
      </w:pPr>
      <w:r>
        <w:rPr/>
        <w:t>11.1</w:t>
        <w:tab/>
        <w:t>Information on</w:t>
      </w:r>
      <w:r>
        <w:rPr>
          <w:spacing w:val="-10"/>
        </w:rPr>
        <w:t> </w:t>
      </w:r>
      <w:r>
        <w:rPr/>
        <w:t>toxicological</w:t>
      </w:r>
      <w:r>
        <w:rPr>
          <w:spacing w:val="-5"/>
        </w:rPr>
        <w:t> </w:t>
      </w:r>
      <w:r>
        <w:rPr/>
        <w:t>effects</w:t>
      </w:r>
      <w:r>
        <w:rPr>
          <w:w w:val="99"/>
        </w:rPr>
        <w:t> </w:t>
      </w:r>
      <w:r>
        <w:rPr/>
        <w:t>Acute</w:t>
      </w:r>
      <w:r>
        <w:rPr>
          <w:spacing w:val="-6"/>
        </w:rPr>
        <w:t> </w:t>
      </w:r>
      <w:r>
        <w:rPr/>
        <w:t>toxicity</w:t>
      </w:r>
    </w:p>
    <w:tbl>
      <w:tblPr>
        <w:tblW w:w="0" w:type="auto"/>
        <w:jc w:val="left"/>
        <w:tblInd w:w="9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88"/>
        <w:gridCol w:w="7052"/>
      </w:tblGrid>
      <w:tr>
        <w:trPr>
          <w:trHeight w:val="240" w:hRule="exact"/>
        </w:trPr>
        <w:tc>
          <w:tcPr>
            <w:tcW w:w="1988" w:type="dxa"/>
            <w:shd w:val="clear" w:color="auto" w:fill="DBE4F0"/>
          </w:tcPr>
          <w:p>
            <w:pPr>
              <w:pStyle w:val="TableParagraph"/>
              <w:spacing w:line="228" w:lineRule="exact"/>
              <w:ind w:left="352"/>
              <w:rPr>
                <w:b/>
                <w:i/>
                <w:sz w:val="20"/>
              </w:rPr>
            </w:pPr>
            <w:r>
              <w:rPr>
                <w:b/>
                <w:i/>
                <w:sz w:val="20"/>
              </w:rPr>
              <w:t>Exposure route</w:t>
            </w:r>
          </w:p>
        </w:tc>
        <w:tc>
          <w:tcPr>
            <w:tcW w:w="7052" w:type="dxa"/>
            <w:shd w:val="clear" w:color="auto" w:fill="DBE4F0"/>
          </w:tcPr>
          <w:p>
            <w:pPr>
              <w:pStyle w:val="TableParagraph"/>
              <w:spacing w:line="228" w:lineRule="exact"/>
              <w:ind w:left="3211" w:right="3213"/>
              <w:jc w:val="center"/>
              <w:rPr>
                <w:b/>
                <w:i/>
                <w:sz w:val="20"/>
              </w:rPr>
            </w:pPr>
            <w:r>
              <w:rPr>
                <w:b/>
                <w:i/>
                <w:sz w:val="20"/>
              </w:rPr>
              <w:t>Effects</w:t>
            </w:r>
          </w:p>
        </w:tc>
      </w:tr>
      <w:tr>
        <w:trPr>
          <w:trHeight w:val="240" w:hRule="exact"/>
        </w:trPr>
        <w:tc>
          <w:tcPr>
            <w:tcW w:w="1988" w:type="dxa"/>
          </w:tcPr>
          <w:p>
            <w:pPr>
              <w:pStyle w:val="TableParagraph"/>
              <w:spacing w:line="228" w:lineRule="exact"/>
              <w:ind w:left="105"/>
              <w:rPr>
                <w:b/>
                <w:sz w:val="20"/>
              </w:rPr>
            </w:pPr>
            <w:r>
              <w:rPr>
                <w:b/>
                <w:sz w:val="20"/>
              </w:rPr>
              <w:t>Inhalation</w:t>
            </w:r>
          </w:p>
        </w:tc>
        <w:tc>
          <w:tcPr>
            <w:tcW w:w="7052" w:type="dxa"/>
          </w:tcPr>
          <w:p>
            <w:pPr>
              <w:pStyle w:val="TableParagraph"/>
              <w:rPr>
                <w:sz w:val="20"/>
              </w:rPr>
            </w:pPr>
            <w:r>
              <w:rPr>
                <w:sz w:val="20"/>
              </w:rPr>
              <w:t>No effect</w:t>
            </w:r>
          </w:p>
        </w:tc>
      </w:tr>
      <w:tr>
        <w:trPr>
          <w:trHeight w:val="240" w:hRule="exact"/>
        </w:trPr>
        <w:tc>
          <w:tcPr>
            <w:tcW w:w="1988" w:type="dxa"/>
          </w:tcPr>
          <w:p>
            <w:pPr>
              <w:pStyle w:val="TableParagraph"/>
              <w:spacing w:line="228" w:lineRule="exact"/>
              <w:ind w:left="105"/>
              <w:rPr>
                <w:b/>
                <w:sz w:val="20"/>
              </w:rPr>
            </w:pPr>
            <w:r>
              <w:rPr>
                <w:b/>
                <w:sz w:val="20"/>
              </w:rPr>
              <w:t>Skin</w:t>
            </w:r>
          </w:p>
        </w:tc>
        <w:tc>
          <w:tcPr>
            <w:tcW w:w="7052" w:type="dxa"/>
          </w:tcPr>
          <w:p>
            <w:pPr>
              <w:pStyle w:val="TableParagraph"/>
              <w:rPr>
                <w:sz w:val="20"/>
              </w:rPr>
            </w:pPr>
            <w:r>
              <w:rPr>
                <w:sz w:val="20"/>
              </w:rPr>
              <w:t>No effect</w:t>
            </w:r>
          </w:p>
        </w:tc>
      </w:tr>
      <w:tr>
        <w:trPr>
          <w:trHeight w:val="240" w:hRule="exact"/>
        </w:trPr>
        <w:tc>
          <w:tcPr>
            <w:tcW w:w="1988" w:type="dxa"/>
          </w:tcPr>
          <w:p>
            <w:pPr>
              <w:pStyle w:val="TableParagraph"/>
              <w:spacing w:line="228" w:lineRule="exact"/>
              <w:ind w:left="105"/>
              <w:rPr>
                <w:b/>
                <w:sz w:val="20"/>
              </w:rPr>
            </w:pPr>
            <w:r>
              <w:rPr>
                <w:b/>
                <w:sz w:val="20"/>
              </w:rPr>
              <w:t>Ingestion</w:t>
            </w:r>
          </w:p>
        </w:tc>
        <w:tc>
          <w:tcPr>
            <w:tcW w:w="7052" w:type="dxa"/>
          </w:tcPr>
          <w:p>
            <w:pPr>
              <w:pStyle w:val="TableParagraph"/>
              <w:rPr>
                <w:sz w:val="20"/>
              </w:rPr>
            </w:pPr>
            <w:r>
              <w:rPr>
                <w:sz w:val="20"/>
              </w:rPr>
              <w:t>Non-toxic. Significant ingestion may cause nausea and discomfort.</w:t>
            </w:r>
          </w:p>
        </w:tc>
      </w:tr>
    </w:tbl>
    <w:p>
      <w:pPr>
        <w:pStyle w:val="BodyText"/>
        <w:spacing w:before="10"/>
        <w:rPr>
          <w:b/>
          <w:sz w:val="19"/>
        </w:rPr>
      </w:pPr>
    </w:p>
    <w:p>
      <w:pPr>
        <w:spacing w:before="0" w:after="2"/>
        <w:ind w:left="938" w:right="0" w:firstLine="0"/>
        <w:jc w:val="left"/>
        <w:rPr>
          <w:b/>
          <w:sz w:val="20"/>
        </w:rPr>
      </w:pPr>
      <w:r>
        <w:rPr>
          <w:b/>
          <w:sz w:val="20"/>
        </w:rPr>
        <w:t>Specific target organ effects (single and repeated exposure)</w:t>
      </w:r>
    </w:p>
    <w:tbl>
      <w:tblPr>
        <w:tblW w:w="0" w:type="auto"/>
        <w:jc w:val="left"/>
        <w:tblInd w:w="9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88"/>
        <w:gridCol w:w="7052"/>
      </w:tblGrid>
      <w:tr>
        <w:trPr>
          <w:trHeight w:val="240" w:hRule="exact"/>
        </w:trPr>
        <w:tc>
          <w:tcPr>
            <w:tcW w:w="1988" w:type="dxa"/>
            <w:shd w:val="clear" w:color="auto" w:fill="DBE4F0"/>
          </w:tcPr>
          <w:p>
            <w:pPr>
              <w:pStyle w:val="TableParagraph"/>
              <w:spacing w:line="228" w:lineRule="exact"/>
              <w:ind w:left="352"/>
              <w:rPr>
                <w:b/>
                <w:i/>
                <w:sz w:val="20"/>
              </w:rPr>
            </w:pPr>
            <w:r>
              <w:rPr>
                <w:b/>
                <w:i/>
                <w:sz w:val="20"/>
              </w:rPr>
              <w:t>Exposure route</w:t>
            </w:r>
          </w:p>
        </w:tc>
        <w:tc>
          <w:tcPr>
            <w:tcW w:w="7052" w:type="dxa"/>
            <w:shd w:val="clear" w:color="auto" w:fill="DBE4F0"/>
          </w:tcPr>
          <w:p>
            <w:pPr>
              <w:pStyle w:val="TableParagraph"/>
              <w:spacing w:line="228" w:lineRule="exact"/>
              <w:ind w:left="3211" w:right="3213"/>
              <w:jc w:val="center"/>
              <w:rPr>
                <w:b/>
                <w:i/>
                <w:sz w:val="20"/>
              </w:rPr>
            </w:pPr>
            <w:r>
              <w:rPr>
                <w:b/>
                <w:i/>
                <w:sz w:val="20"/>
              </w:rPr>
              <w:t>Effects</w:t>
            </w:r>
          </w:p>
        </w:tc>
      </w:tr>
      <w:tr>
        <w:trPr>
          <w:trHeight w:val="240" w:hRule="exact"/>
        </w:trPr>
        <w:tc>
          <w:tcPr>
            <w:tcW w:w="1988" w:type="dxa"/>
          </w:tcPr>
          <w:p>
            <w:pPr>
              <w:pStyle w:val="TableParagraph"/>
              <w:spacing w:line="228" w:lineRule="exact"/>
              <w:ind w:left="105"/>
              <w:rPr>
                <w:b/>
                <w:sz w:val="20"/>
              </w:rPr>
            </w:pPr>
            <w:r>
              <w:rPr>
                <w:b/>
                <w:sz w:val="20"/>
              </w:rPr>
              <w:t>Inhalation</w:t>
            </w:r>
          </w:p>
        </w:tc>
        <w:tc>
          <w:tcPr>
            <w:tcW w:w="7052" w:type="dxa"/>
          </w:tcPr>
          <w:p>
            <w:pPr>
              <w:pStyle w:val="TableParagraph"/>
              <w:rPr>
                <w:sz w:val="20"/>
              </w:rPr>
            </w:pPr>
            <w:r>
              <w:rPr>
                <w:sz w:val="20"/>
              </w:rPr>
              <w:t>No effect</w:t>
            </w:r>
          </w:p>
        </w:tc>
      </w:tr>
      <w:tr>
        <w:trPr>
          <w:trHeight w:val="240" w:hRule="exact"/>
        </w:trPr>
        <w:tc>
          <w:tcPr>
            <w:tcW w:w="1988" w:type="dxa"/>
          </w:tcPr>
          <w:p>
            <w:pPr>
              <w:pStyle w:val="TableParagraph"/>
              <w:spacing w:line="228" w:lineRule="exact"/>
              <w:ind w:left="105"/>
              <w:rPr>
                <w:b/>
                <w:sz w:val="20"/>
              </w:rPr>
            </w:pPr>
            <w:r>
              <w:rPr>
                <w:b/>
                <w:sz w:val="20"/>
              </w:rPr>
              <w:t>Skin</w:t>
            </w:r>
          </w:p>
        </w:tc>
        <w:tc>
          <w:tcPr>
            <w:tcW w:w="7052" w:type="dxa"/>
          </w:tcPr>
          <w:p>
            <w:pPr>
              <w:pStyle w:val="TableParagraph"/>
              <w:rPr>
                <w:sz w:val="20"/>
              </w:rPr>
            </w:pPr>
            <w:r>
              <w:rPr>
                <w:sz w:val="20"/>
              </w:rPr>
              <w:t>No effect</w:t>
            </w:r>
          </w:p>
        </w:tc>
      </w:tr>
      <w:tr>
        <w:trPr>
          <w:trHeight w:val="240" w:hRule="exact"/>
        </w:trPr>
        <w:tc>
          <w:tcPr>
            <w:tcW w:w="1988" w:type="dxa"/>
          </w:tcPr>
          <w:p>
            <w:pPr>
              <w:pStyle w:val="TableParagraph"/>
              <w:spacing w:line="228" w:lineRule="exact"/>
              <w:ind w:left="105"/>
              <w:rPr>
                <w:b/>
                <w:sz w:val="20"/>
              </w:rPr>
            </w:pPr>
            <w:r>
              <w:rPr>
                <w:b/>
                <w:sz w:val="20"/>
              </w:rPr>
              <w:t>Ingestion</w:t>
            </w:r>
          </w:p>
        </w:tc>
        <w:tc>
          <w:tcPr>
            <w:tcW w:w="7052" w:type="dxa"/>
          </w:tcPr>
          <w:p>
            <w:pPr>
              <w:pStyle w:val="TableParagraph"/>
              <w:rPr>
                <w:sz w:val="20"/>
              </w:rPr>
            </w:pPr>
            <w:r>
              <w:rPr>
                <w:sz w:val="20"/>
              </w:rPr>
              <w:t>No effect</w:t>
            </w:r>
          </w:p>
        </w:tc>
      </w:tr>
      <w:tr>
        <w:trPr>
          <w:trHeight w:val="240" w:hRule="exact"/>
        </w:trPr>
        <w:tc>
          <w:tcPr>
            <w:tcW w:w="1988" w:type="dxa"/>
          </w:tcPr>
          <w:p>
            <w:pPr>
              <w:pStyle w:val="TableParagraph"/>
              <w:spacing w:line="228" w:lineRule="exact"/>
              <w:ind w:left="105"/>
              <w:rPr>
                <w:b/>
                <w:sz w:val="20"/>
              </w:rPr>
            </w:pPr>
            <w:r>
              <w:rPr>
                <w:b/>
                <w:sz w:val="20"/>
              </w:rPr>
              <w:t>General</w:t>
            </w:r>
          </w:p>
        </w:tc>
        <w:tc>
          <w:tcPr>
            <w:tcW w:w="7052" w:type="dxa"/>
          </w:tcPr>
          <w:p>
            <w:pPr>
              <w:pStyle w:val="TableParagraph"/>
              <w:rPr>
                <w:sz w:val="20"/>
              </w:rPr>
            </w:pPr>
            <w:r>
              <w:rPr>
                <w:sz w:val="20"/>
              </w:rPr>
              <w:t>No effect</w:t>
            </w:r>
          </w:p>
        </w:tc>
      </w:tr>
    </w:tbl>
    <w:p>
      <w:pPr>
        <w:pStyle w:val="BodyText"/>
        <w:spacing w:before="10"/>
        <w:rPr>
          <w:b/>
          <w:sz w:val="19"/>
        </w:rPr>
      </w:pPr>
    </w:p>
    <w:p>
      <w:pPr>
        <w:spacing w:before="0"/>
        <w:ind w:left="938" w:right="0" w:firstLine="0"/>
        <w:jc w:val="left"/>
        <w:rPr>
          <w:b/>
          <w:sz w:val="20"/>
        </w:rPr>
      </w:pPr>
      <w:r>
        <w:rPr>
          <w:b/>
          <w:sz w:val="20"/>
        </w:rPr>
        <w:t>CMR (carcinogenicity, mutagenicity, reproductive toxicity)</w:t>
      </w:r>
    </w:p>
    <w:tbl>
      <w:tblPr>
        <w:tblW w:w="0" w:type="auto"/>
        <w:jc w:val="left"/>
        <w:tblInd w:w="9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88"/>
        <w:gridCol w:w="7052"/>
      </w:tblGrid>
      <w:tr>
        <w:trPr>
          <w:trHeight w:val="240" w:hRule="exact"/>
        </w:trPr>
        <w:tc>
          <w:tcPr>
            <w:tcW w:w="1988" w:type="dxa"/>
            <w:shd w:val="clear" w:color="auto" w:fill="DBE4F0"/>
          </w:tcPr>
          <w:p>
            <w:pPr>
              <w:pStyle w:val="TableParagraph"/>
              <w:spacing w:line="228" w:lineRule="exact"/>
              <w:ind w:left="352"/>
              <w:rPr>
                <w:b/>
                <w:i/>
                <w:sz w:val="20"/>
              </w:rPr>
            </w:pPr>
            <w:r>
              <w:rPr>
                <w:b/>
                <w:i/>
                <w:sz w:val="20"/>
              </w:rPr>
              <w:t>Exposure route</w:t>
            </w:r>
          </w:p>
        </w:tc>
        <w:tc>
          <w:tcPr>
            <w:tcW w:w="7052" w:type="dxa"/>
            <w:shd w:val="clear" w:color="auto" w:fill="DBE4F0"/>
          </w:tcPr>
          <w:p>
            <w:pPr>
              <w:pStyle w:val="TableParagraph"/>
              <w:spacing w:line="228" w:lineRule="exact"/>
              <w:ind w:left="3211" w:right="3213"/>
              <w:jc w:val="center"/>
              <w:rPr>
                <w:b/>
                <w:i/>
                <w:sz w:val="20"/>
              </w:rPr>
            </w:pPr>
            <w:r>
              <w:rPr>
                <w:b/>
                <w:i/>
                <w:sz w:val="20"/>
              </w:rPr>
              <w:t>Effects</w:t>
            </w:r>
          </w:p>
        </w:tc>
      </w:tr>
      <w:tr>
        <w:trPr>
          <w:trHeight w:val="240" w:hRule="exact"/>
        </w:trPr>
        <w:tc>
          <w:tcPr>
            <w:tcW w:w="1988" w:type="dxa"/>
          </w:tcPr>
          <w:p>
            <w:pPr>
              <w:pStyle w:val="TableParagraph"/>
              <w:spacing w:line="228" w:lineRule="exact"/>
              <w:ind w:left="105"/>
              <w:rPr>
                <w:b/>
                <w:sz w:val="20"/>
              </w:rPr>
            </w:pPr>
            <w:r>
              <w:rPr>
                <w:b/>
                <w:sz w:val="20"/>
              </w:rPr>
              <w:t>Carcinogenicity</w:t>
            </w:r>
          </w:p>
        </w:tc>
        <w:tc>
          <w:tcPr>
            <w:tcW w:w="7052" w:type="dxa"/>
          </w:tcPr>
          <w:p>
            <w:pPr>
              <w:pStyle w:val="TableParagraph"/>
              <w:rPr>
                <w:sz w:val="20"/>
              </w:rPr>
            </w:pPr>
            <w:r>
              <w:rPr>
                <w:sz w:val="20"/>
              </w:rPr>
              <w:t>No effect</w:t>
            </w:r>
          </w:p>
        </w:tc>
      </w:tr>
      <w:tr>
        <w:trPr>
          <w:trHeight w:val="240" w:hRule="exact"/>
        </w:trPr>
        <w:tc>
          <w:tcPr>
            <w:tcW w:w="1988" w:type="dxa"/>
          </w:tcPr>
          <w:p>
            <w:pPr>
              <w:pStyle w:val="TableParagraph"/>
              <w:spacing w:line="228" w:lineRule="exact"/>
              <w:ind w:left="105"/>
              <w:rPr>
                <w:b/>
                <w:sz w:val="20"/>
              </w:rPr>
            </w:pPr>
            <w:r>
              <w:rPr>
                <w:b/>
                <w:sz w:val="20"/>
              </w:rPr>
              <w:t>Mutagenicity</w:t>
            </w:r>
          </w:p>
        </w:tc>
        <w:tc>
          <w:tcPr>
            <w:tcW w:w="7052" w:type="dxa"/>
          </w:tcPr>
          <w:p>
            <w:pPr>
              <w:pStyle w:val="TableParagraph"/>
              <w:rPr>
                <w:sz w:val="20"/>
              </w:rPr>
            </w:pPr>
            <w:r>
              <w:rPr>
                <w:sz w:val="20"/>
              </w:rPr>
              <w:t>No effect</w:t>
            </w:r>
          </w:p>
        </w:tc>
      </w:tr>
      <w:tr>
        <w:trPr>
          <w:trHeight w:val="470" w:hRule="exact"/>
        </w:trPr>
        <w:tc>
          <w:tcPr>
            <w:tcW w:w="1988" w:type="dxa"/>
          </w:tcPr>
          <w:p>
            <w:pPr>
              <w:pStyle w:val="TableParagraph"/>
              <w:spacing w:line="240" w:lineRule="auto"/>
              <w:ind w:left="105" w:right="162"/>
              <w:rPr>
                <w:b/>
                <w:sz w:val="20"/>
              </w:rPr>
            </w:pPr>
            <w:r>
              <w:rPr>
                <w:b/>
                <w:w w:val="95"/>
                <w:sz w:val="20"/>
              </w:rPr>
              <w:t>Reproductive </w:t>
            </w:r>
            <w:r>
              <w:rPr>
                <w:b/>
                <w:sz w:val="20"/>
              </w:rPr>
              <w:t>toxicity</w:t>
            </w:r>
          </w:p>
        </w:tc>
        <w:tc>
          <w:tcPr>
            <w:tcW w:w="7052" w:type="dxa"/>
          </w:tcPr>
          <w:p>
            <w:pPr>
              <w:pStyle w:val="TableParagraph"/>
              <w:rPr>
                <w:sz w:val="20"/>
              </w:rPr>
            </w:pPr>
            <w:r>
              <w:rPr>
                <w:sz w:val="20"/>
              </w:rPr>
              <w:t>No effect</w:t>
            </w:r>
          </w:p>
        </w:tc>
      </w:tr>
    </w:tbl>
    <w:p>
      <w:pPr>
        <w:pStyle w:val="BodyText"/>
        <w:spacing w:before="10"/>
        <w:rPr>
          <w:b/>
          <w:sz w:val="19"/>
        </w:rPr>
      </w:pPr>
    </w:p>
    <w:p>
      <w:pPr>
        <w:spacing w:before="0"/>
        <w:ind w:left="938" w:right="0" w:firstLine="0"/>
        <w:jc w:val="left"/>
        <w:rPr>
          <w:b/>
          <w:sz w:val="20"/>
        </w:rPr>
      </w:pPr>
      <w:r>
        <w:rPr>
          <w:b/>
          <w:sz w:val="20"/>
        </w:rPr>
        <w:t>Corrosivity and irritancy</w:t>
      </w:r>
    </w:p>
    <w:tbl>
      <w:tblPr>
        <w:tblW w:w="0" w:type="auto"/>
        <w:jc w:val="left"/>
        <w:tblInd w:w="9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88"/>
        <w:gridCol w:w="7052"/>
      </w:tblGrid>
      <w:tr>
        <w:trPr>
          <w:trHeight w:val="239" w:hRule="exact"/>
        </w:trPr>
        <w:tc>
          <w:tcPr>
            <w:tcW w:w="1988" w:type="dxa"/>
            <w:shd w:val="clear" w:color="auto" w:fill="DBE4F0"/>
          </w:tcPr>
          <w:p>
            <w:pPr>
              <w:pStyle w:val="TableParagraph"/>
              <w:spacing w:line="229" w:lineRule="exact"/>
              <w:ind w:left="352"/>
              <w:rPr>
                <w:b/>
                <w:i/>
                <w:sz w:val="20"/>
              </w:rPr>
            </w:pPr>
            <w:r>
              <w:rPr>
                <w:b/>
                <w:i/>
                <w:sz w:val="20"/>
              </w:rPr>
              <w:t>Exposure route</w:t>
            </w:r>
          </w:p>
        </w:tc>
        <w:tc>
          <w:tcPr>
            <w:tcW w:w="7052" w:type="dxa"/>
            <w:shd w:val="clear" w:color="auto" w:fill="DBE4F0"/>
          </w:tcPr>
          <w:p>
            <w:pPr>
              <w:pStyle w:val="TableParagraph"/>
              <w:spacing w:line="229" w:lineRule="exact"/>
              <w:ind w:left="3211" w:right="3213"/>
              <w:jc w:val="center"/>
              <w:rPr>
                <w:b/>
                <w:i/>
                <w:sz w:val="20"/>
              </w:rPr>
            </w:pPr>
            <w:r>
              <w:rPr>
                <w:b/>
                <w:i/>
                <w:sz w:val="20"/>
              </w:rPr>
              <w:t>Effects</w:t>
            </w:r>
          </w:p>
        </w:tc>
      </w:tr>
      <w:tr>
        <w:trPr>
          <w:trHeight w:val="240" w:hRule="exact"/>
        </w:trPr>
        <w:tc>
          <w:tcPr>
            <w:tcW w:w="1988" w:type="dxa"/>
          </w:tcPr>
          <w:p>
            <w:pPr>
              <w:pStyle w:val="TableParagraph"/>
              <w:spacing w:line="240" w:lineRule="auto"/>
              <w:ind w:left="105"/>
              <w:rPr>
                <w:b/>
                <w:sz w:val="20"/>
              </w:rPr>
            </w:pPr>
            <w:r>
              <w:rPr>
                <w:b/>
                <w:sz w:val="20"/>
              </w:rPr>
              <w:t>Inhalation</w:t>
            </w:r>
          </w:p>
        </w:tc>
        <w:tc>
          <w:tcPr>
            <w:tcW w:w="7052" w:type="dxa"/>
          </w:tcPr>
          <w:p>
            <w:pPr>
              <w:pStyle w:val="TableParagraph"/>
              <w:spacing w:line="226" w:lineRule="exact"/>
              <w:rPr>
                <w:sz w:val="20"/>
              </w:rPr>
            </w:pPr>
            <w:r>
              <w:rPr>
                <w:sz w:val="20"/>
              </w:rPr>
              <w:t>No effect</w:t>
            </w:r>
          </w:p>
        </w:tc>
      </w:tr>
      <w:tr>
        <w:trPr>
          <w:trHeight w:val="240" w:hRule="exact"/>
        </w:trPr>
        <w:tc>
          <w:tcPr>
            <w:tcW w:w="1988" w:type="dxa"/>
          </w:tcPr>
          <w:p>
            <w:pPr>
              <w:pStyle w:val="TableParagraph"/>
              <w:spacing w:line="240" w:lineRule="auto"/>
              <w:ind w:left="105"/>
              <w:rPr>
                <w:b/>
                <w:sz w:val="20"/>
              </w:rPr>
            </w:pPr>
            <w:r>
              <w:rPr>
                <w:b/>
                <w:sz w:val="20"/>
              </w:rPr>
              <w:t>Eyes</w:t>
            </w:r>
          </w:p>
        </w:tc>
        <w:tc>
          <w:tcPr>
            <w:tcW w:w="7052" w:type="dxa"/>
          </w:tcPr>
          <w:p>
            <w:pPr>
              <w:pStyle w:val="TableParagraph"/>
              <w:spacing w:line="226" w:lineRule="exact"/>
              <w:rPr>
                <w:sz w:val="20"/>
              </w:rPr>
            </w:pPr>
            <w:r>
              <w:rPr>
                <w:sz w:val="20"/>
              </w:rPr>
              <w:t>No effect</w:t>
            </w:r>
          </w:p>
        </w:tc>
      </w:tr>
      <w:tr>
        <w:trPr>
          <w:trHeight w:val="240" w:hRule="exact"/>
        </w:trPr>
        <w:tc>
          <w:tcPr>
            <w:tcW w:w="1988" w:type="dxa"/>
          </w:tcPr>
          <w:p>
            <w:pPr>
              <w:pStyle w:val="TableParagraph"/>
              <w:spacing w:line="240" w:lineRule="auto"/>
              <w:ind w:left="105"/>
              <w:rPr>
                <w:b/>
                <w:sz w:val="20"/>
              </w:rPr>
            </w:pPr>
            <w:r>
              <w:rPr>
                <w:b/>
                <w:sz w:val="20"/>
              </w:rPr>
              <w:t>Skin</w:t>
            </w:r>
          </w:p>
        </w:tc>
        <w:tc>
          <w:tcPr>
            <w:tcW w:w="7052" w:type="dxa"/>
          </w:tcPr>
          <w:p>
            <w:pPr>
              <w:pStyle w:val="TableParagraph"/>
              <w:spacing w:line="226" w:lineRule="exact"/>
              <w:rPr>
                <w:sz w:val="20"/>
              </w:rPr>
            </w:pPr>
            <w:r>
              <w:rPr>
                <w:sz w:val="20"/>
              </w:rPr>
              <w:t>Very slight erythema with no other signs of irritation</w:t>
            </w:r>
          </w:p>
        </w:tc>
      </w:tr>
      <w:tr>
        <w:trPr>
          <w:trHeight w:val="242" w:hRule="exact"/>
        </w:trPr>
        <w:tc>
          <w:tcPr>
            <w:tcW w:w="1988" w:type="dxa"/>
          </w:tcPr>
          <w:p>
            <w:pPr>
              <w:pStyle w:val="TableParagraph"/>
              <w:spacing w:line="240" w:lineRule="auto"/>
              <w:ind w:left="105"/>
              <w:rPr>
                <w:b/>
                <w:sz w:val="20"/>
              </w:rPr>
            </w:pPr>
            <w:r>
              <w:rPr>
                <w:b/>
                <w:sz w:val="20"/>
              </w:rPr>
              <w:t>Ingestion</w:t>
            </w:r>
          </w:p>
        </w:tc>
        <w:tc>
          <w:tcPr>
            <w:tcW w:w="7052" w:type="dxa"/>
          </w:tcPr>
          <w:p>
            <w:pPr>
              <w:pStyle w:val="TableParagraph"/>
              <w:spacing w:line="226" w:lineRule="exact"/>
              <w:rPr>
                <w:sz w:val="20"/>
              </w:rPr>
            </w:pPr>
            <w:r>
              <w:rPr>
                <w:sz w:val="20"/>
              </w:rPr>
              <w:t>No effect</w:t>
            </w:r>
          </w:p>
        </w:tc>
      </w:tr>
    </w:tbl>
    <w:p>
      <w:pPr>
        <w:pStyle w:val="BodyText"/>
        <w:spacing w:before="4"/>
        <w:rPr>
          <w:b/>
          <w:sz w:val="16"/>
        </w:rPr>
      </w:pPr>
      <w:r>
        <w:rPr/>
        <w:pict>
          <v:shape style="position:absolute;margin-left:51.240002pt;margin-top:11.639995pt;width:509.65pt;height:14.1pt;mso-position-horizontal-relative:page;mso-position-vertical-relative:paragraph;z-index:1312;mso-wrap-distance-left:0;mso-wrap-distance-right:0" type="#_x0000_t202" filled="true" fillcolor="#daedf3" stroked="true" strokeweight=".48004pt" strokecolor="#000000">
            <v:textbox inset="0,0,0,0">
              <w:txbxContent>
                <w:p>
                  <w:pPr>
                    <w:tabs>
                      <w:tab w:pos="828" w:val="left" w:leader="none"/>
                    </w:tabs>
                    <w:spacing w:before="19"/>
                    <w:ind w:left="107" w:right="0" w:firstLine="0"/>
                    <w:jc w:val="left"/>
                    <w:rPr>
                      <w:b/>
                      <w:sz w:val="20"/>
                    </w:rPr>
                  </w:pPr>
                  <w:r>
                    <w:rPr>
                      <w:b/>
                      <w:sz w:val="20"/>
                    </w:rPr>
                    <w:t>12.0</w:t>
                    <w:tab/>
                    <w:t>ECOTOXICOLOGICAL</w:t>
                  </w:r>
                  <w:r>
                    <w:rPr>
                      <w:b/>
                      <w:spacing w:val="-9"/>
                      <w:sz w:val="20"/>
                    </w:rPr>
                    <w:t> </w:t>
                  </w:r>
                  <w:r>
                    <w:rPr>
                      <w:b/>
                      <w:sz w:val="20"/>
                    </w:rPr>
                    <w:t>INFORMATION</w:t>
                  </w:r>
                </w:p>
              </w:txbxContent>
            </v:textbox>
            <v:fill type="solid"/>
            <v:stroke dashstyle="solid"/>
            <w10:wrap type="topAndBottom"/>
          </v:shape>
        </w:pict>
      </w:r>
    </w:p>
    <w:p>
      <w:pPr>
        <w:pStyle w:val="BodyText"/>
        <w:spacing w:before="3"/>
        <w:rPr>
          <w:b/>
          <w:sz w:val="17"/>
        </w:rPr>
      </w:pPr>
    </w:p>
    <w:p>
      <w:pPr>
        <w:pStyle w:val="ListParagraph"/>
        <w:numPr>
          <w:ilvl w:val="1"/>
          <w:numId w:val="10"/>
        </w:numPr>
        <w:tabs>
          <w:tab w:pos="937" w:val="left" w:leader="none"/>
          <w:tab w:pos="939" w:val="left" w:leader="none"/>
        </w:tabs>
        <w:spacing w:line="240" w:lineRule="auto" w:before="0" w:after="0"/>
        <w:ind w:left="938" w:right="0" w:hanging="721"/>
        <w:jc w:val="left"/>
        <w:rPr>
          <w:b/>
          <w:sz w:val="20"/>
        </w:rPr>
      </w:pPr>
      <w:r>
        <w:rPr>
          <w:b/>
          <w:sz w:val="20"/>
        </w:rPr>
        <w:t>Toxicity</w:t>
      </w:r>
    </w:p>
    <w:p>
      <w:pPr>
        <w:pStyle w:val="BodyText"/>
        <w:spacing w:before="6"/>
        <w:rPr>
          <w:b/>
          <w:sz w:val="19"/>
        </w:rPr>
      </w:pPr>
    </w:p>
    <w:p>
      <w:pPr>
        <w:pStyle w:val="BodyText"/>
        <w:ind w:left="938"/>
      </w:pPr>
      <w:r>
        <w:rPr/>
        <w:t>Non-toxic to marine algae, vertebrates or invertebrates.</w:t>
      </w:r>
    </w:p>
    <w:p>
      <w:pPr>
        <w:pStyle w:val="BodyText"/>
        <w:spacing w:before="2"/>
      </w:pPr>
    </w:p>
    <w:p>
      <w:pPr>
        <w:pStyle w:val="Heading1"/>
        <w:numPr>
          <w:ilvl w:val="1"/>
          <w:numId w:val="10"/>
        </w:numPr>
        <w:tabs>
          <w:tab w:pos="937" w:val="left" w:leader="none"/>
          <w:tab w:pos="939" w:val="left" w:leader="none"/>
        </w:tabs>
        <w:spacing w:line="240" w:lineRule="auto" w:before="0" w:after="0"/>
        <w:ind w:left="938" w:right="0" w:hanging="721"/>
        <w:jc w:val="left"/>
      </w:pPr>
      <w:r>
        <w:rPr/>
        <w:t>Persistence and</w:t>
      </w:r>
      <w:r>
        <w:rPr>
          <w:spacing w:val="-9"/>
        </w:rPr>
        <w:t> </w:t>
      </w:r>
      <w:r>
        <w:rPr/>
        <w:t>degradability</w:t>
      </w:r>
    </w:p>
    <w:p>
      <w:pPr>
        <w:pStyle w:val="BodyText"/>
        <w:spacing w:before="7"/>
        <w:rPr>
          <w:b/>
          <w:sz w:val="19"/>
        </w:rPr>
      </w:pPr>
    </w:p>
    <w:p>
      <w:pPr>
        <w:pStyle w:val="BodyText"/>
        <w:ind w:left="938"/>
      </w:pPr>
      <w:r>
        <w:rPr/>
        <w:t>Product is fully biodegradable.</w:t>
      </w:r>
    </w:p>
    <w:p>
      <w:pPr>
        <w:pStyle w:val="BodyText"/>
        <w:spacing w:before="5"/>
      </w:pPr>
    </w:p>
    <w:p>
      <w:pPr>
        <w:pStyle w:val="Heading1"/>
        <w:numPr>
          <w:ilvl w:val="1"/>
          <w:numId w:val="10"/>
        </w:numPr>
        <w:tabs>
          <w:tab w:pos="937" w:val="left" w:leader="none"/>
          <w:tab w:pos="939" w:val="left" w:leader="none"/>
        </w:tabs>
        <w:spacing w:line="240" w:lineRule="auto" w:before="0" w:after="0"/>
        <w:ind w:left="938" w:right="0" w:hanging="721"/>
        <w:jc w:val="left"/>
      </w:pPr>
      <w:r>
        <w:rPr/>
        <w:t>Bioaccumulation</w:t>
      </w:r>
      <w:r>
        <w:rPr>
          <w:spacing w:val="-11"/>
        </w:rPr>
        <w:t> </w:t>
      </w:r>
      <w:r>
        <w:rPr/>
        <w:t>potential</w:t>
      </w:r>
    </w:p>
    <w:p>
      <w:pPr>
        <w:pStyle w:val="BodyText"/>
        <w:spacing w:before="4"/>
        <w:rPr>
          <w:b/>
          <w:sz w:val="19"/>
        </w:rPr>
      </w:pPr>
    </w:p>
    <w:p>
      <w:pPr>
        <w:pStyle w:val="BodyText"/>
        <w:ind w:left="938"/>
      </w:pPr>
      <w:r>
        <w:rPr/>
        <w:t>Due to its biodegradability, the product presents minimal bioaccumulation potential, and therefore minimal environmental impact.</w:t>
      </w:r>
    </w:p>
    <w:p>
      <w:pPr>
        <w:pStyle w:val="BodyText"/>
        <w:spacing w:before="5"/>
      </w:pPr>
    </w:p>
    <w:p>
      <w:pPr>
        <w:pStyle w:val="Heading1"/>
        <w:numPr>
          <w:ilvl w:val="1"/>
          <w:numId w:val="10"/>
        </w:numPr>
        <w:tabs>
          <w:tab w:pos="937" w:val="left" w:leader="none"/>
          <w:tab w:pos="939" w:val="left" w:leader="none"/>
        </w:tabs>
        <w:spacing w:line="240" w:lineRule="auto" w:before="0" w:after="0"/>
        <w:ind w:left="938" w:right="0" w:hanging="721"/>
        <w:jc w:val="left"/>
      </w:pPr>
      <w:r>
        <w:rPr/>
        <w:t>Mobility in</w:t>
      </w:r>
      <w:r>
        <w:rPr>
          <w:spacing w:val="-4"/>
        </w:rPr>
        <w:t> </w:t>
      </w:r>
      <w:r>
        <w:rPr/>
        <w:t>soil</w:t>
      </w:r>
    </w:p>
    <w:p>
      <w:pPr>
        <w:pStyle w:val="BodyText"/>
        <w:spacing w:before="5"/>
        <w:rPr>
          <w:b/>
          <w:sz w:val="19"/>
        </w:rPr>
      </w:pPr>
    </w:p>
    <w:p>
      <w:pPr>
        <w:pStyle w:val="BodyText"/>
        <w:ind w:left="938"/>
      </w:pPr>
      <w:r>
        <w:rPr/>
        <w:t>No data.</w:t>
      </w:r>
    </w:p>
    <w:p>
      <w:pPr>
        <w:pStyle w:val="BodyText"/>
        <w:spacing w:before="5"/>
      </w:pPr>
    </w:p>
    <w:p>
      <w:pPr>
        <w:pStyle w:val="Heading1"/>
        <w:numPr>
          <w:ilvl w:val="1"/>
          <w:numId w:val="10"/>
        </w:numPr>
        <w:tabs>
          <w:tab w:pos="937" w:val="left" w:leader="none"/>
          <w:tab w:pos="939" w:val="left" w:leader="none"/>
        </w:tabs>
        <w:spacing w:line="240" w:lineRule="auto" w:before="0" w:after="0"/>
        <w:ind w:left="938" w:right="0" w:hanging="721"/>
        <w:jc w:val="left"/>
      </w:pPr>
      <w:r>
        <w:rPr/>
        <w:t>Results of PBT and vPvB</w:t>
      </w:r>
      <w:r>
        <w:rPr>
          <w:spacing w:val="-14"/>
        </w:rPr>
        <w:t> </w:t>
      </w:r>
      <w:r>
        <w:rPr/>
        <w:t>assessment</w:t>
      </w:r>
    </w:p>
    <w:p>
      <w:pPr>
        <w:pStyle w:val="BodyText"/>
        <w:spacing w:before="7"/>
        <w:rPr>
          <w:b/>
          <w:sz w:val="19"/>
        </w:rPr>
      </w:pPr>
    </w:p>
    <w:p>
      <w:pPr>
        <w:pStyle w:val="BodyText"/>
        <w:ind w:left="938"/>
      </w:pPr>
      <w:r>
        <w:rPr/>
        <w:t>Product exhibits no PBT or vPvB properties.</w:t>
      </w:r>
    </w:p>
    <w:p>
      <w:pPr>
        <w:pStyle w:val="BodyText"/>
        <w:spacing w:before="2"/>
      </w:pPr>
    </w:p>
    <w:p>
      <w:pPr>
        <w:pStyle w:val="Heading1"/>
        <w:numPr>
          <w:ilvl w:val="1"/>
          <w:numId w:val="10"/>
        </w:numPr>
        <w:tabs>
          <w:tab w:pos="937" w:val="left" w:leader="none"/>
          <w:tab w:pos="939" w:val="left" w:leader="none"/>
        </w:tabs>
        <w:spacing w:line="240" w:lineRule="auto" w:before="0" w:after="0"/>
        <w:ind w:left="938" w:right="0" w:hanging="721"/>
        <w:jc w:val="left"/>
      </w:pPr>
      <w:r>
        <w:rPr/>
        <w:t>Other adverse</w:t>
      </w:r>
      <w:r>
        <w:rPr>
          <w:spacing w:val="-6"/>
        </w:rPr>
        <w:t> </w:t>
      </w:r>
      <w:r>
        <w:rPr/>
        <w:t>effects</w:t>
      </w:r>
    </w:p>
    <w:p>
      <w:pPr>
        <w:pStyle w:val="BodyText"/>
        <w:spacing w:before="6"/>
        <w:rPr>
          <w:b/>
          <w:sz w:val="19"/>
        </w:rPr>
      </w:pPr>
    </w:p>
    <w:p>
      <w:pPr>
        <w:pStyle w:val="BodyText"/>
        <w:spacing w:before="1"/>
        <w:ind w:left="938"/>
      </w:pPr>
      <w:r>
        <w:rPr/>
        <w:t>No additional adverse effects.</w:t>
      </w:r>
    </w:p>
    <w:p>
      <w:pPr>
        <w:spacing w:after="0"/>
        <w:sectPr>
          <w:pgSz w:w="12240" w:h="15840"/>
          <w:pgMar w:header="0" w:footer="351" w:top="1380" w:bottom="540" w:left="920" w:right="920"/>
        </w:sectPr>
      </w:pPr>
    </w:p>
    <w:p>
      <w:pPr>
        <w:pStyle w:val="BodyText"/>
        <w:ind w:left="99"/>
      </w:pPr>
      <w:r>
        <w:rPr>
          <w:spacing w:val="-49"/>
        </w:rPr>
        <w:t> </w:t>
      </w:r>
      <w:r>
        <w:rPr>
          <w:spacing w:val="-49"/>
        </w:rPr>
        <w:pict>
          <v:shape style="width:509.65pt;height:14.05pt;mso-position-horizontal-relative:char;mso-position-vertical-relative:line" type="#_x0000_t202" filled="true" fillcolor="#daedf3" stroked="true" strokeweight=".48004pt" strokecolor="#000000">
            <w10:anchorlock/>
            <v:textbox inset="0,0,0,0">
              <w:txbxContent>
                <w:p>
                  <w:pPr>
                    <w:tabs>
                      <w:tab w:pos="828" w:val="left" w:leader="none"/>
                    </w:tabs>
                    <w:spacing w:before="19"/>
                    <w:ind w:left="107" w:right="0" w:firstLine="0"/>
                    <w:jc w:val="left"/>
                    <w:rPr>
                      <w:b/>
                      <w:sz w:val="20"/>
                    </w:rPr>
                  </w:pPr>
                  <w:r>
                    <w:rPr>
                      <w:b/>
                      <w:sz w:val="20"/>
                    </w:rPr>
                    <w:t>13.0</w:t>
                    <w:tab/>
                    <w:t>DISPOSAL</w:t>
                  </w:r>
                  <w:r>
                    <w:rPr>
                      <w:b/>
                      <w:spacing w:val="-9"/>
                      <w:sz w:val="20"/>
                    </w:rPr>
                    <w:t> </w:t>
                  </w:r>
                  <w:r>
                    <w:rPr>
                      <w:b/>
                      <w:sz w:val="20"/>
                    </w:rPr>
                    <w:t>CONSIDERATIONS</w:t>
                  </w:r>
                </w:p>
              </w:txbxContent>
            </v:textbox>
            <v:fill type="solid"/>
            <v:stroke dashstyle="solid"/>
          </v:shape>
        </w:pict>
      </w:r>
      <w:r>
        <w:rPr>
          <w:spacing w:val="-49"/>
        </w:rPr>
      </w:r>
    </w:p>
    <w:p>
      <w:pPr>
        <w:pStyle w:val="Heading1"/>
        <w:tabs>
          <w:tab w:pos="937" w:val="left" w:leader="none"/>
        </w:tabs>
        <w:spacing w:before="112"/>
        <w:ind w:left="217" w:firstLine="0"/>
      </w:pPr>
      <w:r>
        <w:rPr/>
        <w:t>13.1</w:t>
        <w:tab/>
        <w:t>Waste treatment</w:t>
      </w:r>
      <w:r>
        <w:rPr>
          <w:spacing w:val="-10"/>
        </w:rPr>
        <w:t> </w:t>
      </w:r>
      <w:r>
        <w:rPr/>
        <w:t>methods</w:t>
      </w:r>
    </w:p>
    <w:p>
      <w:pPr>
        <w:pStyle w:val="BodyText"/>
        <w:spacing w:before="156"/>
        <w:ind w:left="938"/>
      </w:pPr>
      <w:r>
        <w:rPr>
          <w:b/>
          <w:i/>
        </w:rPr>
        <w:t>Handling:  </w:t>
      </w:r>
      <w:r>
        <w:rPr/>
        <w:t>Product is not hazardous – please refer to sections 7 and 8 for further details on hazardous waste.</w:t>
      </w:r>
    </w:p>
    <w:p>
      <w:pPr>
        <w:pStyle w:val="BodyText"/>
        <w:spacing w:before="161"/>
        <w:ind w:left="938"/>
      </w:pPr>
      <w:r>
        <w:rPr>
          <w:b/>
          <w:i/>
        </w:rPr>
        <w:t>Material: </w:t>
      </w:r>
      <w:r>
        <w:rPr/>
        <w:t>The material is non-hazardous, and should be disposed of in accordance to local, regional or national regulations</w:t>
      </w:r>
    </w:p>
    <w:p>
      <w:pPr>
        <w:pStyle w:val="BodyText"/>
        <w:spacing w:before="158"/>
        <w:ind w:left="938"/>
      </w:pPr>
      <w:r>
        <w:rPr>
          <w:b/>
          <w:i/>
        </w:rPr>
        <w:t>Packaging: </w:t>
      </w:r>
      <w:r>
        <w:rPr/>
        <w:t>Contaminated packaging must be disposed of in accordance to local, regional or national regulations.</w:t>
      </w:r>
    </w:p>
    <w:p>
      <w:pPr>
        <w:pStyle w:val="BodyText"/>
        <w:spacing w:before="160"/>
        <w:ind w:left="938"/>
      </w:pPr>
      <w:r>
        <w:rPr>
          <w:b/>
          <w:i/>
        </w:rPr>
        <w:t>Regulations: </w:t>
      </w:r>
      <w:r>
        <w:rPr/>
        <w:t>Relevant local, regional and national regulations should be complied with.</w:t>
      </w:r>
    </w:p>
    <w:p>
      <w:pPr>
        <w:pStyle w:val="BodyText"/>
        <w:spacing w:before="1"/>
        <w:rPr>
          <w:sz w:val="11"/>
        </w:rPr>
      </w:pPr>
      <w:r>
        <w:rPr/>
        <w:pict>
          <v:shape style="position:absolute;margin-left:51.240002pt;margin-top:8.612855pt;width:509.65pt;height:14.05pt;mso-position-horizontal-relative:page;mso-position-vertical-relative:paragraph;z-index:1360;mso-wrap-distance-left:0;mso-wrap-distance-right:0" type="#_x0000_t202" filled="true" fillcolor="#daedf3" stroked="true" strokeweight=".48004pt" strokecolor="#000000">
            <v:textbox inset="0,0,0,0">
              <w:txbxContent>
                <w:p>
                  <w:pPr>
                    <w:tabs>
                      <w:tab w:pos="828" w:val="left" w:leader="none"/>
                    </w:tabs>
                    <w:spacing w:before="19"/>
                    <w:ind w:left="107" w:right="0" w:firstLine="0"/>
                    <w:jc w:val="left"/>
                    <w:rPr>
                      <w:b/>
                      <w:sz w:val="20"/>
                    </w:rPr>
                  </w:pPr>
                  <w:r>
                    <w:rPr>
                      <w:b/>
                      <w:sz w:val="20"/>
                    </w:rPr>
                    <w:t>14.0</w:t>
                    <w:tab/>
                    <w:t>TRANSPORT</w:t>
                  </w:r>
                  <w:r>
                    <w:rPr>
                      <w:b/>
                      <w:spacing w:val="-9"/>
                      <w:sz w:val="20"/>
                    </w:rPr>
                    <w:t> </w:t>
                  </w:r>
                  <w:r>
                    <w:rPr>
                      <w:b/>
                      <w:sz w:val="20"/>
                    </w:rPr>
                    <w:t>INFORMATION</w:t>
                  </w:r>
                </w:p>
              </w:txbxContent>
            </v:textbox>
            <v:fill type="solid"/>
            <v:stroke dashstyle="solid"/>
            <w10:wrap type="topAndBottom"/>
          </v:shape>
        </w:pict>
      </w:r>
    </w:p>
    <w:p>
      <w:pPr>
        <w:pStyle w:val="BodyText"/>
        <w:spacing w:before="125"/>
        <w:ind w:left="217"/>
      </w:pPr>
      <w:r>
        <w:rPr/>
        <w:t>The product is non-hazardous. Therefore, no specific precautions are necessary.</w:t>
      </w:r>
    </w:p>
    <w:p>
      <w:pPr>
        <w:pStyle w:val="ListParagraph"/>
        <w:numPr>
          <w:ilvl w:val="1"/>
          <w:numId w:val="11"/>
        </w:numPr>
        <w:tabs>
          <w:tab w:pos="937" w:val="left" w:leader="none"/>
          <w:tab w:pos="939" w:val="left" w:leader="none"/>
          <w:tab w:pos="3818" w:val="left" w:leader="none"/>
        </w:tabs>
        <w:spacing w:line="240" w:lineRule="auto" w:before="161" w:after="0"/>
        <w:ind w:left="938" w:right="0" w:hanging="721"/>
        <w:jc w:val="left"/>
        <w:rPr>
          <w:sz w:val="20"/>
        </w:rPr>
      </w:pPr>
      <w:r>
        <w:rPr>
          <w:b/>
          <w:sz w:val="20"/>
        </w:rPr>
        <w:t>UN</w:t>
      </w:r>
      <w:r>
        <w:rPr>
          <w:b/>
          <w:spacing w:val="-2"/>
          <w:sz w:val="20"/>
        </w:rPr>
        <w:t> </w:t>
      </w:r>
      <w:r>
        <w:rPr>
          <w:b/>
          <w:sz w:val="20"/>
        </w:rPr>
        <w:t>number</w:t>
        <w:tab/>
      </w:r>
      <w:r>
        <w:rPr>
          <w:sz w:val="20"/>
        </w:rPr>
        <w:t>Not</w:t>
      </w:r>
      <w:r>
        <w:rPr>
          <w:spacing w:val="-6"/>
          <w:sz w:val="20"/>
        </w:rPr>
        <w:t> </w:t>
      </w:r>
      <w:r>
        <w:rPr>
          <w:sz w:val="20"/>
        </w:rPr>
        <w:t>available</w:t>
      </w:r>
    </w:p>
    <w:p>
      <w:pPr>
        <w:pStyle w:val="ListParagraph"/>
        <w:numPr>
          <w:ilvl w:val="1"/>
          <w:numId w:val="11"/>
        </w:numPr>
        <w:tabs>
          <w:tab w:pos="937" w:val="left" w:leader="none"/>
          <w:tab w:pos="939" w:val="left" w:leader="none"/>
          <w:tab w:pos="3818" w:val="left" w:leader="none"/>
        </w:tabs>
        <w:spacing w:line="240" w:lineRule="auto" w:before="161" w:after="0"/>
        <w:ind w:left="938" w:right="0" w:hanging="721"/>
        <w:jc w:val="left"/>
        <w:rPr>
          <w:sz w:val="20"/>
        </w:rPr>
      </w:pPr>
      <w:r>
        <w:rPr>
          <w:b/>
          <w:sz w:val="20"/>
        </w:rPr>
        <w:t>UN proper</w:t>
      </w:r>
      <w:r>
        <w:rPr>
          <w:b/>
          <w:spacing w:val="-4"/>
          <w:sz w:val="20"/>
        </w:rPr>
        <w:t> </w:t>
      </w:r>
      <w:r>
        <w:rPr>
          <w:b/>
          <w:sz w:val="20"/>
        </w:rPr>
        <w:t>shipping</w:t>
      </w:r>
      <w:r>
        <w:rPr>
          <w:b/>
          <w:spacing w:val="-2"/>
          <w:sz w:val="20"/>
        </w:rPr>
        <w:t> </w:t>
      </w:r>
      <w:r>
        <w:rPr>
          <w:b/>
          <w:sz w:val="20"/>
        </w:rPr>
        <w:t>name</w:t>
        <w:tab/>
      </w:r>
      <w:r>
        <w:rPr>
          <w:sz w:val="20"/>
        </w:rPr>
        <w:t>Not</w:t>
      </w:r>
      <w:r>
        <w:rPr>
          <w:spacing w:val="-6"/>
          <w:sz w:val="20"/>
        </w:rPr>
        <w:t> </w:t>
      </w:r>
      <w:r>
        <w:rPr>
          <w:sz w:val="20"/>
        </w:rPr>
        <w:t>available</w:t>
      </w:r>
    </w:p>
    <w:p>
      <w:pPr>
        <w:pStyle w:val="ListParagraph"/>
        <w:numPr>
          <w:ilvl w:val="1"/>
          <w:numId w:val="11"/>
        </w:numPr>
        <w:tabs>
          <w:tab w:pos="937" w:val="left" w:leader="none"/>
          <w:tab w:pos="939" w:val="left" w:leader="none"/>
          <w:tab w:pos="3818" w:val="left" w:leader="none"/>
        </w:tabs>
        <w:spacing w:line="240" w:lineRule="auto" w:before="160" w:after="0"/>
        <w:ind w:left="938" w:right="0" w:hanging="721"/>
        <w:jc w:val="left"/>
        <w:rPr>
          <w:sz w:val="20"/>
        </w:rPr>
      </w:pPr>
      <w:r>
        <w:rPr>
          <w:b/>
          <w:sz w:val="20"/>
        </w:rPr>
        <w:t>Transport</w:t>
      </w:r>
      <w:r>
        <w:rPr>
          <w:b/>
          <w:spacing w:val="-2"/>
          <w:sz w:val="20"/>
        </w:rPr>
        <w:t> </w:t>
      </w:r>
      <w:r>
        <w:rPr>
          <w:b/>
          <w:sz w:val="20"/>
        </w:rPr>
        <w:t>hazard</w:t>
      </w:r>
      <w:r>
        <w:rPr>
          <w:b/>
          <w:spacing w:val="-3"/>
          <w:sz w:val="20"/>
        </w:rPr>
        <w:t> </w:t>
      </w:r>
      <w:r>
        <w:rPr>
          <w:b/>
          <w:sz w:val="20"/>
        </w:rPr>
        <w:t>class(es)</w:t>
        <w:tab/>
      </w:r>
      <w:r>
        <w:rPr>
          <w:sz w:val="20"/>
        </w:rPr>
        <w:t>Not</w:t>
      </w:r>
      <w:r>
        <w:rPr>
          <w:spacing w:val="-2"/>
          <w:sz w:val="20"/>
        </w:rPr>
        <w:t> </w:t>
      </w:r>
      <w:r>
        <w:rPr>
          <w:sz w:val="20"/>
        </w:rPr>
        <w:t>applicable</w:t>
      </w:r>
    </w:p>
    <w:p>
      <w:pPr>
        <w:pStyle w:val="ListParagraph"/>
        <w:numPr>
          <w:ilvl w:val="1"/>
          <w:numId w:val="11"/>
        </w:numPr>
        <w:tabs>
          <w:tab w:pos="937" w:val="left" w:leader="none"/>
          <w:tab w:pos="939" w:val="left" w:leader="none"/>
          <w:tab w:pos="3818" w:val="left" w:leader="none"/>
        </w:tabs>
        <w:spacing w:line="240" w:lineRule="auto" w:before="160" w:after="0"/>
        <w:ind w:left="938" w:right="0" w:hanging="721"/>
        <w:jc w:val="left"/>
        <w:rPr>
          <w:sz w:val="20"/>
        </w:rPr>
      </w:pPr>
      <w:r>
        <w:rPr>
          <w:b/>
          <w:sz w:val="20"/>
        </w:rPr>
        <w:t>Packing</w:t>
      </w:r>
      <w:r>
        <w:rPr>
          <w:b/>
          <w:spacing w:val="-2"/>
          <w:sz w:val="20"/>
        </w:rPr>
        <w:t> </w:t>
      </w:r>
      <w:r>
        <w:rPr>
          <w:b/>
          <w:sz w:val="20"/>
        </w:rPr>
        <w:t>group</w:t>
        <w:tab/>
      </w:r>
      <w:r>
        <w:rPr>
          <w:sz w:val="20"/>
        </w:rPr>
        <w:t>Not</w:t>
      </w:r>
      <w:r>
        <w:rPr>
          <w:spacing w:val="-2"/>
          <w:sz w:val="20"/>
        </w:rPr>
        <w:t> </w:t>
      </w:r>
      <w:r>
        <w:rPr>
          <w:sz w:val="20"/>
        </w:rPr>
        <w:t>applicable</w:t>
      </w:r>
    </w:p>
    <w:p>
      <w:pPr>
        <w:pStyle w:val="ListParagraph"/>
        <w:numPr>
          <w:ilvl w:val="1"/>
          <w:numId w:val="11"/>
        </w:numPr>
        <w:tabs>
          <w:tab w:pos="937" w:val="left" w:leader="none"/>
          <w:tab w:pos="939" w:val="left" w:leader="none"/>
          <w:tab w:pos="3818" w:val="left" w:leader="none"/>
        </w:tabs>
        <w:spacing w:line="240" w:lineRule="auto" w:before="160" w:after="0"/>
        <w:ind w:left="938" w:right="0" w:hanging="721"/>
        <w:jc w:val="left"/>
        <w:rPr>
          <w:sz w:val="20"/>
        </w:rPr>
      </w:pPr>
      <w:r>
        <w:rPr>
          <w:b/>
          <w:sz w:val="20"/>
        </w:rPr>
        <w:t>Environmental</w:t>
      </w:r>
      <w:r>
        <w:rPr>
          <w:b/>
          <w:spacing w:val="-3"/>
          <w:sz w:val="20"/>
        </w:rPr>
        <w:t> </w:t>
      </w:r>
      <w:r>
        <w:rPr>
          <w:b/>
          <w:sz w:val="20"/>
        </w:rPr>
        <w:t>hazards</w:t>
        <w:tab/>
      </w:r>
      <w:r>
        <w:rPr>
          <w:sz w:val="20"/>
        </w:rPr>
        <w:t>Unclassified</w:t>
      </w:r>
    </w:p>
    <w:p>
      <w:pPr>
        <w:pStyle w:val="ListParagraph"/>
        <w:numPr>
          <w:ilvl w:val="1"/>
          <w:numId w:val="11"/>
        </w:numPr>
        <w:tabs>
          <w:tab w:pos="937" w:val="left" w:leader="none"/>
          <w:tab w:pos="939" w:val="left" w:leader="none"/>
          <w:tab w:pos="3868" w:val="left" w:leader="none"/>
        </w:tabs>
        <w:spacing w:line="240" w:lineRule="auto" w:before="160" w:after="0"/>
        <w:ind w:left="938" w:right="0" w:hanging="721"/>
        <w:jc w:val="left"/>
        <w:rPr>
          <w:sz w:val="20"/>
        </w:rPr>
      </w:pPr>
      <w:r>
        <w:rPr>
          <w:b/>
          <w:sz w:val="20"/>
        </w:rPr>
        <w:t>Special precautions</w:t>
      </w:r>
      <w:r>
        <w:rPr>
          <w:b/>
          <w:spacing w:val="-6"/>
          <w:sz w:val="20"/>
        </w:rPr>
        <w:t> </w:t>
      </w:r>
      <w:r>
        <w:rPr>
          <w:b/>
          <w:sz w:val="20"/>
        </w:rPr>
        <w:t>for</w:t>
      </w:r>
      <w:r>
        <w:rPr>
          <w:b/>
          <w:spacing w:val="-2"/>
          <w:sz w:val="20"/>
        </w:rPr>
        <w:t> </w:t>
      </w:r>
      <w:r>
        <w:rPr>
          <w:b/>
          <w:sz w:val="20"/>
        </w:rPr>
        <w:t>user</w:t>
        <w:tab/>
      </w:r>
      <w:r>
        <w:rPr>
          <w:sz w:val="20"/>
        </w:rPr>
        <w:t>No special precautions</w:t>
      </w:r>
      <w:r>
        <w:rPr>
          <w:spacing w:val="-10"/>
          <w:sz w:val="20"/>
        </w:rPr>
        <w:t> </w:t>
      </w:r>
      <w:r>
        <w:rPr>
          <w:sz w:val="20"/>
        </w:rPr>
        <w:t>required</w:t>
      </w:r>
    </w:p>
    <w:p>
      <w:pPr>
        <w:pStyle w:val="Heading1"/>
        <w:numPr>
          <w:ilvl w:val="1"/>
          <w:numId w:val="11"/>
        </w:numPr>
        <w:tabs>
          <w:tab w:pos="937" w:val="left" w:leader="none"/>
          <w:tab w:pos="939" w:val="left" w:leader="none"/>
        </w:tabs>
        <w:spacing w:line="240" w:lineRule="auto" w:before="163" w:after="0"/>
        <w:ind w:left="938" w:right="0" w:hanging="721"/>
        <w:jc w:val="left"/>
      </w:pPr>
      <w:r>
        <w:rPr/>
        <w:t>Transport in bulk according to Annex II of MARPOL 73/78 and the IBC</w:t>
      </w:r>
      <w:r>
        <w:rPr>
          <w:spacing w:val="-14"/>
        </w:rPr>
        <w:t> </w:t>
      </w:r>
      <w:r>
        <w:rPr/>
        <w:t>Code</w:t>
      </w:r>
    </w:p>
    <w:p>
      <w:pPr>
        <w:pStyle w:val="BodyText"/>
        <w:spacing w:before="156"/>
        <w:ind w:left="938"/>
      </w:pPr>
      <w:r>
        <w:rPr/>
        <w:t>No specific information required</w:t>
      </w:r>
    </w:p>
    <w:p>
      <w:pPr>
        <w:pStyle w:val="BodyText"/>
        <w:spacing w:before="1"/>
        <w:rPr>
          <w:sz w:val="11"/>
        </w:rPr>
      </w:pPr>
      <w:r>
        <w:rPr/>
        <w:pict>
          <v:shape style="position:absolute;margin-left:51.240002pt;margin-top:8.622808pt;width:509.65pt;height:14.05pt;mso-position-horizontal-relative:page;mso-position-vertical-relative:paragraph;z-index:1384;mso-wrap-distance-left:0;mso-wrap-distance-right:0" type="#_x0000_t202" filled="true" fillcolor="#daedf3" stroked="true" strokeweight=".48004pt" strokecolor="#000000">
            <v:textbox inset="0,0,0,0">
              <w:txbxContent>
                <w:p>
                  <w:pPr>
                    <w:tabs>
                      <w:tab w:pos="828" w:val="left" w:leader="none"/>
                    </w:tabs>
                    <w:spacing w:before="19"/>
                    <w:ind w:left="107" w:right="0" w:firstLine="0"/>
                    <w:jc w:val="left"/>
                    <w:rPr>
                      <w:b/>
                      <w:sz w:val="20"/>
                    </w:rPr>
                  </w:pPr>
                  <w:r>
                    <w:rPr>
                      <w:b/>
                      <w:sz w:val="20"/>
                    </w:rPr>
                    <w:t>15.0</w:t>
                    <w:tab/>
                    <w:t>REGULATORY</w:t>
                  </w:r>
                  <w:r>
                    <w:rPr>
                      <w:b/>
                      <w:spacing w:val="-13"/>
                      <w:sz w:val="20"/>
                    </w:rPr>
                    <w:t> </w:t>
                  </w:r>
                  <w:r>
                    <w:rPr>
                      <w:b/>
                      <w:sz w:val="20"/>
                    </w:rPr>
                    <w:t>INFORMATION</w:t>
                  </w:r>
                </w:p>
              </w:txbxContent>
            </v:textbox>
            <v:fill type="solid"/>
            <v:stroke dashstyle="solid"/>
            <w10:wrap type="topAndBottom"/>
          </v:shape>
        </w:pict>
      </w:r>
    </w:p>
    <w:p>
      <w:pPr>
        <w:pStyle w:val="ListParagraph"/>
        <w:numPr>
          <w:ilvl w:val="1"/>
          <w:numId w:val="12"/>
        </w:numPr>
        <w:tabs>
          <w:tab w:pos="937" w:val="left" w:leader="none"/>
          <w:tab w:pos="939" w:val="left" w:leader="none"/>
        </w:tabs>
        <w:spacing w:line="240" w:lineRule="auto" w:before="129" w:after="0"/>
        <w:ind w:left="938" w:right="0" w:hanging="721"/>
        <w:jc w:val="left"/>
        <w:rPr>
          <w:b/>
          <w:sz w:val="20"/>
        </w:rPr>
      </w:pPr>
      <w:r>
        <w:rPr>
          <w:b/>
          <w:sz w:val="20"/>
        </w:rPr>
        <w:t>Safety, health and environmental regulations/ legislation</w:t>
      </w:r>
      <w:r>
        <w:rPr>
          <w:b/>
          <w:spacing w:val="-35"/>
          <w:sz w:val="20"/>
        </w:rPr>
        <w:t> </w:t>
      </w:r>
      <w:r>
        <w:rPr>
          <w:b/>
          <w:sz w:val="20"/>
        </w:rPr>
        <w:t>specific for the substance or mixture</w:t>
      </w:r>
    </w:p>
    <w:p>
      <w:pPr>
        <w:spacing w:before="156"/>
        <w:ind w:left="938" w:right="0" w:firstLine="0"/>
        <w:jc w:val="left"/>
        <w:rPr>
          <w:sz w:val="20"/>
        </w:rPr>
      </w:pPr>
      <w:r>
        <w:rPr>
          <w:b/>
          <w:i/>
          <w:sz w:val="20"/>
        </w:rPr>
        <w:t>UK workplace risk assessment:  </w:t>
      </w:r>
      <w:r>
        <w:rPr>
          <w:sz w:val="20"/>
        </w:rPr>
        <w:t>The product is not subject to any workplace risks.</w:t>
      </w:r>
    </w:p>
    <w:p>
      <w:pPr>
        <w:pStyle w:val="BodyText"/>
        <w:spacing w:before="161"/>
        <w:ind w:left="938" w:right="323"/>
      </w:pPr>
      <w:r>
        <w:rPr>
          <w:b/>
          <w:i/>
        </w:rPr>
        <w:t>REACH: </w:t>
      </w:r>
      <w:r>
        <w:rPr/>
        <w:t>The main ingredient in the product is </w:t>
      </w:r>
      <w:r>
        <w:rPr>
          <w:i/>
        </w:rPr>
        <w:t>Ascophyllum nodosum </w:t>
      </w:r>
      <w:r>
        <w:rPr/>
        <w:t>extract, for which a REACH registration has been completed. Reference Number: 01-2119575389-21-0001</w:t>
      </w:r>
    </w:p>
    <w:p>
      <w:pPr>
        <w:pStyle w:val="Heading1"/>
        <w:numPr>
          <w:ilvl w:val="1"/>
          <w:numId w:val="12"/>
        </w:numPr>
        <w:tabs>
          <w:tab w:pos="937" w:val="left" w:leader="none"/>
          <w:tab w:pos="939" w:val="left" w:leader="none"/>
        </w:tabs>
        <w:spacing w:line="240" w:lineRule="auto" w:before="166" w:after="0"/>
        <w:ind w:left="938" w:right="0" w:hanging="721"/>
        <w:jc w:val="left"/>
      </w:pPr>
      <w:r>
        <w:rPr/>
        <w:t>Chemical safety</w:t>
      </w:r>
      <w:r>
        <w:rPr>
          <w:spacing w:val="-10"/>
        </w:rPr>
        <w:t> </w:t>
      </w:r>
      <w:r>
        <w:rPr/>
        <w:t>assessment</w:t>
      </w:r>
    </w:p>
    <w:p>
      <w:pPr>
        <w:pStyle w:val="BodyText"/>
        <w:spacing w:before="156"/>
        <w:ind w:left="938"/>
      </w:pPr>
      <w:r>
        <w:rPr/>
        <w:t>A chemical safety assessment has not yet been carried out for this product.</w:t>
      </w:r>
    </w:p>
    <w:p>
      <w:pPr>
        <w:pStyle w:val="BodyText"/>
        <w:spacing w:before="1"/>
        <w:rPr>
          <w:sz w:val="11"/>
        </w:rPr>
      </w:pPr>
      <w:r>
        <w:rPr/>
        <w:pict>
          <v:shape style="position:absolute;margin-left:51.240002pt;margin-top:8.612822pt;width:509.65pt;height:13.95pt;mso-position-horizontal-relative:page;mso-position-vertical-relative:paragraph;z-index:1408;mso-wrap-distance-left:0;mso-wrap-distance-right:0" type="#_x0000_t202" filled="true" fillcolor="#daedf3" stroked="true" strokeweight=".48004pt" strokecolor="#000000">
            <v:textbox inset="0,0,0,0">
              <w:txbxContent>
                <w:p>
                  <w:pPr>
                    <w:tabs>
                      <w:tab w:pos="828" w:val="left" w:leader="none"/>
                    </w:tabs>
                    <w:spacing w:before="19"/>
                    <w:ind w:left="107" w:right="0" w:firstLine="0"/>
                    <w:jc w:val="left"/>
                    <w:rPr>
                      <w:b/>
                      <w:sz w:val="20"/>
                    </w:rPr>
                  </w:pPr>
                  <w:r>
                    <w:rPr>
                      <w:b/>
                      <w:sz w:val="20"/>
                    </w:rPr>
                    <w:t>16.0</w:t>
                    <w:tab/>
                    <w:t>OTHER</w:t>
                  </w:r>
                  <w:r>
                    <w:rPr>
                      <w:b/>
                      <w:spacing w:val="-11"/>
                      <w:sz w:val="20"/>
                    </w:rPr>
                    <w:t> </w:t>
                  </w:r>
                  <w:r>
                    <w:rPr>
                      <w:b/>
                      <w:sz w:val="20"/>
                    </w:rPr>
                    <w:t>INFORMATION</w:t>
                  </w:r>
                </w:p>
              </w:txbxContent>
            </v:textbox>
            <v:fill type="solid"/>
            <v:stroke dashstyle="solid"/>
            <w10:wrap type="topAndBottom"/>
          </v:shape>
        </w:pict>
      </w:r>
    </w:p>
    <w:p>
      <w:pPr>
        <w:spacing w:before="129"/>
        <w:ind w:left="217" w:right="0" w:firstLine="0"/>
        <w:jc w:val="left"/>
        <w:rPr>
          <w:b/>
          <w:sz w:val="20"/>
        </w:rPr>
      </w:pPr>
      <w:r>
        <w:rPr>
          <w:b/>
          <w:sz w:val="20"/>
        </w:rPr>
        <w:t>Abbreviations used in this SDS:</w:t>
      </w:r>
    </w:p>
    <w:p>
      <w:pPr>
        <w:pStyle w:val="BodyText"/>
        <w:tabs>
          <w:tab w:pos="2377" w:val="left" w:leader="none"/>
        </w:tabs>
        <w:spacing w:before="155"/>
        <w:ind w:left="938"/>
      </w:pPr>
      <w:r>
        <w:rPr/>
        <w:t>67/548</w:t>
      </w:r>
      <w:r>
        <w:rPr>
          <w:spacing w:val="-2"/>
        </w:rPr>
        <w:t> </w:t>
      </w:r>
      <w:r>
        <w:rPr/>
        <w:t>EEC:</w:t>
        <w:tab/>
        <w:t>The Dangerous Substances</w:t>
      </w:r>
      <w:r>
        <w:rPr>
          <w:spacing w:val="-11"/>
        </w:rPr>
        <w:t> </w:t>
      </w:r>
      <w:r>
        <w:rPr/>
        <w:t>Directive</w:t>
      </w:r>
    </w:p>
    <w:p>
      <w:pPr>
        <w:pStyle w:val="BodyText"/>
        <w:tabs>
          <w:tab w:pos="2377" w:val="left" w:leader="none"/>
        </w:tabs>
        <w:ind w:left="938"/>
      </w:pPr>
      <w:r>
        <w:rPr/>
        <w:t>CLP:</w:t>
        <w:tab/>
        <w:t>Classification, Labelling and Packaging</w:t>
      </w:r>
      <w:r>
        <w:rPr>
          <w:spacing w:val="-16"/>
        </w:rPr>
        <w:t> </w:t>
      </w:r>
      <w:r>
        <w:rPr/>
        <w:t>Regulation</w:t>
      </w:r>
    </w:p>
    <w:p>
      <w:pPr>
        <w:pStyle w:val="BodyText"/>
        <w:tabs>
          <w:tab w:pos="2377" w:val="left" w:leader="none"/>
        </w:tabs>
        <w:ind w:left="938"/>
      </w:pPr>
      <w:r>
        <w:rPr/>
        <w:t>UN:</w:t>
        <w:tab/>
        <w:t>United Nations Model Regulations on the Transport of Dangerous</w:t>
      </w:r>
      <w:r>
        <w:rPr>
          <w:spacing w:val="-16"/>
        </w:rPr>
        <w:t> </w:t>
      </w:r>
      <w:r>
        <w:rPr/>
        <w:t>Goods</w:t>
      </w:r>
    </w:p>
    <w:p>
      <w:pPr>
        <w:pStyle w:val="Heading1"/>
        <w:spacing w:before="166"/>
        <w:ind w:left="217" w:firstLine="0"/>
      </w:pPr>
      <w:r>
        <w:rPr/>
        <w:t>Text of R-phrases, hazard statements, S-phrases and precautionary statements referred to in this SDS:</w:t>
      </w:r>
    </w:p>
    <w:p>
      <w:pPr>
        <w:pStyle w:val="BodyText"/>
        <w:spacing w:before="156"/>
        <w:ind w:left="217"/>
      </w:pPr>
      <w:r>
        <w:rPr/>
        <w:t>Product is not classified, therefore no further information on classification details is required.</w:t>
      </w:r>
    </w:p>
    <w:p>
      <w:pPr>
        <w:spacing w:before="162"/>
        <w:ind w:left="217" w:right="245" w:firstLine="0"/>
        <w:jc w:val="left"/>
        <w:rPr>
          <w:sz w:val="16"/>
        </w:rPr>
      </w:pPr>
      <w:r>
        <w:rPr>
          <w:b/>
          <w:sz w:val="16"/>
        </w:rPr>
        <w:t>Disclaimer:  </w:t>
      </w:r>
      <w:r>
        <w:rPr>
          <w:sz w:val="16"/>
        </w:rPr>
        <w:t>The information contained herein is in good faith but makes no claim as to its comprehensiveness or accuracy. This document is intended only as a guide for a properly trained person to safely handle the product. Recipients of the information must exercise their independent judgment in determining its appropriateness for a particular purpose. Organic Crop Protectants Pty Ltd makes no representations or warranties, either expressed or implied, including without limitation any warranties of merchantability, fitness for a particular purpose with respect to the information set out herein or the product to which the information refers.  Accordingly, Organic Crop Protectants Pty Ltd will not be responsible for damage resulting from use of or reliance upon this information.</w:t>
      </w:r>
    </w:p>
    <w:sectPr>
      <w:pgSz w:w="12240" w:h="15840"/>
      <w:pgMar w:header="0" w:footer="351" w:top="1380" w:bottom="540" w:left="920" w:right="9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pPr>
    <w:r>
      <w:rPr/>
      <w:pict>
        <v:shape style="position:absolute;margin-left:55.880001pt;margin-top:763.435303pt;width:75.850pt;height:9.8pt;mso-position-horizontal-relative:page;mso-position-vertical-relative:page;z-index:-18568" type="#_x0000_t202" filled="false" stroked="false">
          <v:textbox inset="0,0,0,0">
            <w:txbxContent>
              <w:p>
                <w:pPr>
                  <w:spacing w:before="14"/>
                  <w:ind w:left="20" w:right="0" w:firstLine="0"/>
                  <w:jc w:val="left"/>
                  <w:rPr>
                    <w:rFonts w:ascii="Arial"/>
                    <w:sz w:val="14"/>
                  </w:rPr>
                </w:pPr>
                <w:r>
                  <w:rPr>
                    <w:rFonts w:ascii="Arial"/>
                    <w:sz w:val="14"/>
                  </w:rPr>
                  <w:t>ANP.POW.9.6.EU.1114</w:t>
                </w:r>
              </w:p>
            </w:txbxContent>
          </v:textbox>
          <w10:wrap type="none"/>
        </v:shape>
      </w:pict>
    </w:r>
    <w:r>
      <w:rPr/>
      <w:pict>
        <v:shape style="position:absolute;margin-left:471.540009pt;margin-top:763.435303pt;width:37.7pt;height:9.8pt;mso-position-horizontal-relative:page;mso-position-vertical-relative:page;z-index:-18544" type="#_x0000_t202" filled="false" stroked="false">
          <v:textbox inset="0,0,0,0">
            <w:txbxContent>
              <w:p>
                <w:pPr>
                  <w:spacing w:before="14"/>
                  <w:ind w:left="20" w:right="0" w:firstLine="0"/>
                  <w:jc w:val="left"/>
                  <w:rPr>
                    <w:rFonts w:ascii="Arial"/>
                    <w:sz w:val="14"/>
                  </w:rPr>
                </w:pPr>
                <w:r>
                  <w:rPr>
                    <w:rFonts w:ascii="Arial"/>
                    <w:sz w:val="14"/>
                  </w:rPr>
                  <w:t>Page </w:t>
                </w:r>
                <w:r>
                  <w:rPr/>
                  <w:fldChar w:fldCharType="begin"/>
                </w:r>
                <w:r>
                  <w:rPr>
                    <w:rFonts w:ascii="Arial"/>
                    <w:sz w:val="14"/>
                  </w:rPr>
                  <w:instrText> PAGE </w:instrText>
                </w:r>
                <w:r>
                  <w:rPr/>
                  <w:fldChar w:fldCharType="separate"/>
                </w:r>
                <w:r>
                  <w:rPr/>
                  <w:t>2</w:t>
                </w:r>
                <w:r>
                  <w:rPr/>
                  <w:fldChar w:fldCharType="end"/>
                </w:r>
                <w:r>
                  <w:rPr>
                    <w:rFonts w:ascii="Arial"/>
                    <w:sz w:val="14"/>
                  </w:rPr>
                  <w:t> of 6</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1">
    <w:multiLevelType w:val="hybridMultilevel"/>
    <w:lvl w:ilvl="0">
      <w:start w:val="15"/>
      <w:numFmt w:val="decimal"/>
      <w:lvlText w:val="%1"/>
      <w:lvlJc w:val="left"/>
      <w:pPr>
        <w:ind w:left="938" w:hanging="721"/>
        <w:jc w:val="left"/>
      </w:pPr>
      <w:rPr>
        <w:rFonts w:hint="default"/>
      </w:rPr>
    </w:lvl>
    <w:lvl w:ilvl="1">
      <w:start w:val="1"/>
      <w:numFmt w:val="decimal"/>
      <w:lvlText w:val="%1.%2"/>
      <w:lvlJc w:val="left"/>
      <w:pPr>
        <w:ind w:left="938" w:hanging="721"/>
        <w:jc w:val="left"/>
      </w:pPr>
      <w:rPr>
        <w:rFonts w:hint="default" w:ascii="Times New Roman" w:hAnsi="Times New Roman" w:eastAsia="Times New Roman" w:cs="Times New Roman"/>
        <w:b/>
        <w:bCs/>
        <w:spacing w:val="0"/>
        <w:w w:val="99"/>
        <w:sz w:val="20"/>
        <w:szCs w:val="20"/>
      </w:rPr>
    </w:lvl>
    <w:lvl w:ilvl="2">
      <w:start w:val="0"/>
      <w:numFmt w:val="bullet"/>
      <w:lvlText w:val="•"/>
      <w:lvlJc w:val="left"/>
      <w:pPr>
        <w:ind w:left="2832" w:hanging="721"/>
      </w:pPr>
      <w:rPr>
        <w:rFonts w:hint="default"/>
      </w:rPr>
    </w:lvl>
    <w:lvl w:ilvl="3">
      <w:start w:val="0"/>
      <w:numFmt w:val="bullet"/>
      <w:lvlText w:val="•"/>
      <w:lvlJc w:val="left"/>
      <w:pPr>
        <w:ind w:left="3778" w:hanging="721"/>
      </w:pPr>
      <w:rPr>
        <w:rFonts w:hint="default"/>
      </w:rPr>
    </w:lvl>
    <w:lvl w:ilvl="4">
      <w:start w:val="0"/>
      <w:numFmt w:val="bullet"/>
      <w:lvlText w:val="•"/>
      <w:lvlJc w:val="left"/>
      <w:pPr>
        <w:ind w:left="4724" w:hanging="721"/>
      </w:pPr>
      <w:rPr>
        <w:rFonts w:hint="default"/>
      </w:rPr>
    </w:lvl>
    <w:lvl w:ilvl="5">
      <w:start w:val="0"/>
      <w:numFmt w:val="bullet"/>
      <w:lvlText w:val="•"/>
      <w:lvlJc w:val="left"/>
      <w:pPr>
        <w:ind w:left="5670" w:hanging="721"/>
      </w:pPr>
      <w:rPr>
        <w:rFonts w:hint="default"/>
      </w:rPr>
    </w:lvl>
    <w:lvl w:ilvl="6">
      <w:start w:val="0"/>
      <w:numFmt w:val="bullet"/>
      <w:lvlText w:val="•"/>
      <w:lvlJc w:val="left"/>
      <w:pPr>
        <w:ind w:left="6616" w:hanging="721"/>
      </w:pPr>
      <w:rPr>
        <w:rFonts w:hint="default"/>
      </w:rPr>
    </w:lvl>
    <w:lvl w:ilvl="7">
      <w:start w:val="0"/>
      <w:numFmt w:val="bullet"/>
      <w:lvlText w:val="•"/>
      <w:lvlJc w:val="left"/>
      <w:pPr>
        <w:ind w:left="7562" w:hanging="721"/>
      </w:pPr>
      <w:rPr>
        <w:rFonts w:hint="default"/>
      </w:rPr>
    </w:lvl>
    <w:lvl w:ilvl="8">
      <w:start w:val="0"/>
      <w:numFmt w:val="bullet"/>
      <w:lvlText w:val="•"/>
      <w:lvlJc w:val="left"/>
      <w:pPr>
        <w:ind w:left="8508" w:hanging="721"/>
      </w:pPr>
      <w:rPr>
        <w:rFonts w:hint="default"/>
      </w:rPr>
    </w:lvl>
  </w:abstractNum>
  <w:abstractNum w:abstractNumId="10">
    <w:multiLevelType w:val="hybridMultilevel"/>
    <w:lvl w:ilvl="0">
      <w:start w:val="14"/>
      <w:numFmt w:val="decimal"/>
      <w:lvlText w:val="%1"/>
      <w:lvlJc w:val="left"/>
      <w:pPr>
        <w:ind w:left="938" w:hanging="721"/>
        <w:jc w:val="left"/>
      </w:pPr>
      <w:rPr>
        <w:rFonts w:hint="default"/>
      </w:rPr>
    </w:lvl>
    <w:lvl w:ilvl="1">
      <w:start w:val="1"/>
      <w:numFmt w:val="decimal"/>
      <w:lvlText w:val="%1.%2"/>
      <w:lvlJc w:val="left"/>
      <w:pPr>
        <w:ind w:left="938" w:hanging="721"/>
        <w:jc w:val="left"/>
      </w:pPr>
      <w:rPr>
        <w:rFonts w:hint="default" w:ascii="Times New Roman" w:hAnsi="Times New Roman" w:eastAsia="Times New Roman" w:cs="Times New Roman"/>
        <w:b/>
        <w:bCs/>
        <w:spacing w:val="0"/>
        <w:w w:val="99"/>
        <w:sz w:val="20"/>
        <w:szCs w:val="20"/>
      </w:rPr>
    </w:lvl>
    <w:lvl w:ilvl="2">
      <w:start w:val="0"/>
      <w:numFmt w:val="bullet"/>
      <w:lvlText w:val="•"/>
      <w:lvlJc w:val="left"/>
      <w:pPr>
        <w:ind w:left="2832" w:hanging="721"/>
      </w:pPr>
      <w:rPr>
        <w:rFonts w:hint="default"/>
      </w:rPr>
    </w:lvl>
    <w:lvl w:ilvl="3">
      <w:start w:val="0"/>
      <w:numFmt w:val="bullet"/>
      <w:lvlText w:val="•"/>
      <w:lvlJc w:val="left"/>
      <w:pPr>
        <w:ind w:left="3778" w:hanging="721"/>
      </w:pPr>
      <w:rPr>
        <w:rFonts w:hint="default"/>
      </w:rPr>
    </w:lvl>
    <w:lvl w:ilvl="4">
      <w:start w:val="0"/>
      <w:numFmt w:val="bullet"/>
      <w:lvlText w:val="•"/>
      <w:lvlJc w:val="left"/>
      <w:pPr>
        <w:ind w:left="4724" w:hanging="721"/>
      </w:pPr>
      <w:rPr>
        <w:rFonts w:hint="default"/>
      </w:rPr>
    </w:lvl>
    <w:lvl w:ilvl="5">
      <w:start w:val="0"/>
      <w:numFmt w:val="bullet"/>
      <w:lvlText w:val="•"/>
      <w:lvlJc w:val="left"/>
      <w:pPr>
        <w:ind w:left="5670" w:hanging="721"/>
      </w:pPr>
      <w:rPr>
        <w:rFonts w:hint="default"/>
      </w:rPr>
    </w:lvl>
    <w:lvl w:ilvl="6">
      <w:start w:val="0"/>
      <w:numFmt w:val="bullet"/>
      <w:lvlText w:val="•"/>
      <w:lvlJc w:val="left"/>
      <w:pPr>
        <w:ind w:left="6616" w:hanging="721"/>
      </w:pPr>
      <w:rPr>
        <w:rFonts w:hint="default"/>
      </w:rPr>
    </w:lvl>
    <w:lvl w:ilvl="7">
      <w:start w:val="0"/>
      <w:numFmt w:val="bullet"/>
      <w:lvlText w:val="•"/>
      <w:lvlJc w:val="left"/>
      <w:pPr>
        <w:ind w:left="7562" w:hanging="721"/>
      </w:pPr>
      <w:rPr>
        <w:rFonts w:hint="default"/>
      </w:rPr>
    </w:lvl>
    <w:lvl w:ilvl="8">
      <w:start w:val="0"/>
      <w:numFmt w:val="bullet"/>
      <w:lvlText w:val="•"/>
      <w:lvlJc w:val="left"/>
      <w:pPr>
        <w:ind w:left="8508" w:hanging="721"/>
      </w:pPr>
      <w:rPr>
        <w:rFonts w:hint="default"/>
      </w:rPr>
    </w:lvl>
  </w:abstractNum>
  <w:abstractNum w:abstractNumId="9">
    <w:multiLevelType w:val="hybridMultilevel"/>
    <w:lvl w:ilvl="0">
      <w:start w:val="12"/>
      <w:numFmt w:val="decimal"/>
      <w:lvlText w:val="%1"/>
      <w:lvlJc w:val="left"/>
      <w:pPr>
        <w:ind w:left="938" w:hanging="721"/>
        <w:jc w:val="left"/>
      </w:pPr>
      <w:rPr>
        <w:rFonts w:hint="default"/>
      </w:rPr>
    </w:lvl>
    <w:lvl w:ilvl="1">
      <w:start w:val="1"/>
      <w:numFmt w:val="decimal"/>
      <w:lvlText w:val="%1.%2"/>
      <w:lvlJc w:val="left"/>
      <w:pPr>
        <w:ind w:left="938" w:hanging="721"/>
        <w:jc w:val="left"/>
      </w:pPr>
      <w:rPr>
        <w:rFonts w:hint="default" w:ascii="Times New Roman" w:hAnsi="Times New Roman" w:eastAsia="Times New Roman" w:cs="Times New Roman"/>
        <w:b/>
        <w:bCs/>
        <w:spacing w:val="0"/>
        <w:w w:val="99"/>
        <w:sz w:val="20"/>
        <w:szCs w:val="20"/>
      </w:rPr>
    </w:lvl>
    <w:lvl w:ilvl="2">
      <w:start w:val="0"/>
      <w:numFmt w:val="bullet"/>
      <w:lvlText w:val="•"/>
      <w:lvlJc w:val="left"/>
      <w:pPr>
        <w:ind w:left="2832" w:hanging="721"/>
      </w:pPr>
      <w:rPr>
        <w:rFonts w:hint="default"/>
      </w:rPr>
    </w:lvl>
    <w:lvl w:ilvl="3">
      <w:start w:val="0"/>
      <w:numFmt w:val="bullet"/>
      <w:lvlText w:val="•"/>
      <w:lvlJc w:val="left"/>
      <w:pPr>
        <w:ind w:left="3778" w:hanging="721"/>
      </w:pPr>
      <w:rPr>
        <w:rFonts w:hint="default"/>
      </w:rPr>
    </w:lvl>
    <w:lvl w:ilvl="4">
      <w:start w:val="0"/>
      <w:numFmt w:val="bullet"/>
      <w:lvlText w:val="•"/>
      <w:lvlJc w:val="left"/>
      <w:pPr>
        <w:ind w:left="4724" w:hanging="721"/>
      </w:pPr>
      <w:rPr>
        <w:rFonts w:hint="default"/>
      </w:rPr>
    </w:lvl>
    <w:lvl w:ilvl="5">
      <w:start w:val="0"/>
      <w:numFmt w:val="bullet"/>
      <w:lvlText w:val="•"/>
      <w:lvlJc w:val="left"/>
      <w:pPr>
        <w:ind w:left="5670" w:hanging="721"/>
      </w:pPr>
      <w:rPr>
        <w:rFonts w:hint="default"/>
      </w:rPr>
    </w:lvl>
    <w:lvl w:ilvl="6">
      <w:start w:val="0"/>
      <w:numFmt w:val="bullet"/>
      <w:lvlText w:val="•"/>
      <w:lvlJc w:val="left"/>
      <w:pPr>
        <w:ind w:left="6616" w:hanging="721"/>
      </w:pPr>
      <w:rPr>
        <w:rFonts w:hint="default"/>
      </w:rPr>
    </w:lvl>
    <w:lvl w:ilvl="7">
      <w:start w:val="0"/>
      <w:numFmt w:val="bullet"/>
      <w:lvlText w:val="•"/>
      <w:lvlJc w:val="left"/>
      <w:pPr>
        <w:ind w:left="7562" w:hanging="721"/>
      </w:pPr>
      <w:rPr>
        <w:rFonts w:hint="default"/>
      </w:rPr>
    </w:lvl>
    <w:lvl w:ilvl="8">
      <w:start w:val="0"/>
      <w:numFmt w:val="bullet"/>
      <w:lvlText w:val="•"/>
      <w:lvlJc w:val="left"/>
      <w:pPr>
        <w:ind w:left="8508" w:hanging="721"/>
      </w:pPr>
      <w:rPr>
        <w:rFonts w:hint="default"/>
      </w:rPr>
    </w:lvl>
  </w:abstractNum>
  <w:abstractNum w:abstractNumId="8">
    <w:multiLevelType w:val="hybridMultilevel"/>
    <w:lvl w:ilvl="0">
      <w:start w:val="10"/>
      <w:numFmt w:val="decimal"/>
      <w:lvlText w:val="%1"/>
      <w:lvlJc w:val="left"/>
      <w:pPr>
        <w:ind w:left="938" w:hanging="721"/>
        <w:jc w:val="left"/>
      </w:pPr>
      <w:rPr>
        <w:rFonts w:hint="default"/>
      </w:rPr>
    </w:lvl>
    <w:lvl w:ilvl="1">
      <w:start w:val="1"/>
      <w:numFmt w:val="decimal"/>
      <w:lvlText w:val="%1.%2"/>
      <w:lvlJc w:val="left"/>
      <w:pPr>
        <w:ind w:left="938" w:hanging="721"/>
        <w:jc w:val="left"/>
      </w:pPr>
      <w:rPr>
        <w:rFonts w:hint="default" w:ascii="Times New Roman" w:hAnsi="Times New Roman" w:eastAsia="Times New Roman" w:cs="Times New Roman"/>
        <w:b/>
        <w:bCs/>
        <w:spacing w:val="0"/>
        <w:w w:val="99"/>
        <w:sz w:val="20"/>
        <w:szCs w:val="20"/>
      </w:rPr>
    </w:lvl>
    <w:lvl w:ilvl="2">
      <w:start w:val="0"/>
      <w:numFmt w:val="bullet"/>
      <w:lvlText w:val="•"/>
      <w:lvlJc w:val="left"/>
      <w:pPr>
        <w:ind w:left="2832" w:hanging="721"/>
      </w:pPr>
      <w:rPr>
        <w:rFonts w:hint="default"/>
      </w:rPr>
    </w:lvl>
    <w:lvl w:ilvl="3">
      <w:start w:val="0"/>
      <w:numFmt w:val="bullet"/>
      <w:lvlText w:val="•"/>
      <w:lvlJc w:val="left"/>
      <w:pPr>
        <w:ind w:left="3778" w:hanging="721"/>
      </w:pPr>
      <w:rPr>
        <w:rFonts w:hint="default"/>
      </w:rPr>
    </w:lvl>
    <w:lvl w:ilvl="4">
      <w:start w:val="0"/>
      <w:numFmt w:val="bullet"/>
      <w:lvlText w:val="•"/>
      <w:lvlJc w:val="left"/>
      <w:pPr>
        <w:ind w:left="4724" w:hanging="721"/>
      </w:pPr>
      <w:rPr>
        <w:rFonts w:hint="default"/>
      </w:rPr>
    </w:lvl>
    <w:lvl w:ilvl="5">
      <w:start w:val="0"/>
      <w:numFmt w:val="bullet"/>
      <w:lvlText w:val="•"/>
      <w:lvlJc w:val="left"/>
      <w:pPr>
        <w:ind w:left="5670" w:hanging="721"/>
      </w:pPr>
      <w:rPr>
        <w:rFonts w:hint="default"/>
      </w:rPr>
    </w:lvl>
    <w:lvl w:ilvl="6">
      <w:start w:val="0"/>
      <w:numFmt w:val="bullet"/>
      <w:lvlText w:val="•"/>
      <w:lvlJc w:val="left"/>
      <w:pPr>
        <w:ind w:left="6616" w:hanging="721"/>
      </w:pPr>
      <w:rPr>
        <w:rFonts w:hint="default"/>
      </w:rPr>
    </w:lvl>
    <w:lvl w:ilvl="7">
      <w:start w:val="0"/>
      <w:numFmt w:val="bullet"/>
      <w:lvlText w:val="•"/>
      <w:lvlJc w:val="left"/>
      <w:pPr>
        <w:ind w:left="7562" w:hanging="721"/>
      </w:pPr>
      <w:rPr>
        <w:rFonts w:hint="default"/>
      </w:rPr>
    </w:lvl>
    <w:lvl w:ilvl="8">
      <w:start w:val="0"/>
      <w:numFmt w:val="bullet"/>
      <w:lvlText w:val="•"/>
      <w:lvlJc w:val="left"/>
      <w:pPr>
        <w:ind w:left="8508" w:hanging="721"/>
      </w:pPr>
      <w:rPr>
        <w:rFonts w:hint="default"/>
      </w:rPr>
    </w:lvl>
  </w:abstractNum>
  <w:abstractNum w:abstractNumId="7">
    <w:multiLevelType w:val="hybridMultilevel"/>
    <w:lvl w:ilvl="0">
      <w:start w:val="9"/>
      <w:numFmt w:val="decimal"/>
      <w:lvlText w:val="%1"/>
      <w:lvlJc w:val="left"/>
      <w:pPr>
        <w:ind w:left="938" w:hanging="721"/>
        <w:jc w:val="left"/>
      </w:pPr>
      <w:rPr>
        <w:rFonts w:hint="default"/>
      </w:rPr>
    </w:lvl>
    <w:lvl w:ilvl="1">
      <w:start w:val="1"/>
      <w:numFmt w:val="decimal"/>
      <w:lvlText w:val="%1.%2"/>
      <w:lvlJc w:val="left"/>
      <w:pPr>
        <w:ind w:left="938" w:hanging="721"/>
        <w:jc w:val="left"/>
      </w:pPr>
      <w:rPr>
        <w:rFonts w:hint="default" w:ascii="Times New Roman" w:hAnsi="Times New Roman" w:eastAsia="Times New Roman" w:cs="Times New Roman"/>
        <w:b/>
        <w:bCs/>
        <w:spacing w:val="0"/>
        <w:w w:val="99"/>
        <w:sz w:val="20"/>
        <w:szCs w:val="20"/>
      </w:rPr>
    </w:lvl>
    <w:lvl w:ilvl="2">
      <w:start w:val="0"/>
      <w:numFmt w:val="bullet"/>
      <w:lvlText w:val="•"/>
      <w:lvlJc w:val="left"/>
      <w:pPr>
        <w:ind w:left="2832" w:hanging="721"/>
      </w:pPr>
      <w:rPr>
        <w:rFonts w:hint="default"/>
      </w:rPr>
    </w:lvl>
    <w:lvl w:ilvl="3">
      <w:start w:val="0"/>
      <w:numFmt w:val="bullet"/>
      <w:lvlText w:val="•"/>
      <w:lvlJc w:val="left"/>
      <w:pPr>
        <w:ind w:left="3778" w:hanging="721"/>
      </w:pPr>
      <w:rPr>
        <w:rFonts w:hint="default"/>
      </w:rPr>
    </w:lvl>
    <w:lvl w:ilvl="4">
      <w:start w:val="0"/>
      <w:numFmt w:val="bullet"/>
      <w:lvlText w:val="•"/>
      <w:lvlJc w:val="left"/>
      <w:pPr>
        <w:ind w:left="4724" w:hanging="721"/>
      </w:pPr>
      <w:rPr>
        <w:rFonts w:hint="default"/>
      </w:rPr>
    </w:lvl>
    <w:lvl w:ilvl="5">
      <w:start w:val="0"/>
      <w:numFmt w:val="bullet"/>
      <w:lvlText w:val="•"/>
      <w:lvlJc w:val="left"/>
      <w:pPr>
        <w:ind w:left="5670" w:hanging="721"/>
      </w:pPr>
      <w:rPr>
        <w:rFonts w:hint="default"/>
      </w:rPr>
    </w:lvl>
    <w:lvl w:ilvl="6">
      <w:start w:val="0"/>
      <w:numFmt w:val="bullet"/>
      <w:lvlText w:val="•"/>
      <w:lvlJc w:val="left"/>
      <w:pPr>
        <w:ind w:left="6616" w:hanging="721"/>
      </w:pPr>
      <w:rPr>
        <w:rFonts w:hint="default"/>
      </w:rPr>
    </w:lvl>
    <w:lvl w:ilvl="7">
      <w:start w:val="0"/>
      <w:numFmt w:val="bullet"/>
      <w:lvlText w:val="•"/>
      <w:lvlJc w:val="left"/>
      <w:pPr>
        <w:ind w:left="7562" w:hanging="721"/>
      </w:pPr>
      <w:rPr>
        <w:rFonts w:hint="default"/>
      </w:rPr>
    </w:lvl>
    <w:lvl w:ilvl="8">
      <w:start w:val="0"/>
      <w:numFmt w:val="bullet"/>
      <w:lvlText w:val="•"/>
      <w:lvlJc w:val="left"/>
      <w:pPr>
        <w:ind w:left="8508" w:hanging="721"/>
      </w:pPr>
      <w:rPr>
        <w:rFonts w:hint="default"/>
      </w:rPr>
    </w:lvl>
  </w:abstractNum>
  <w:abstractNum w:abstractNumId="6">
    <w:multiLevelType w:val="hybridMultilevel"/>
    <w:lvl w:ilvl="0">
      <w:start w:val="8"/>
      <w:numFmt w:val="decimal"/>
      <w:lvlText w:val="%1"/>
      <w:lvlJc w:val="left"/>
      <w:pPr>
        <w:ind w:left="938" w:hanging="721"/>
        <w:jc w:val="left"/>
      </w:pPr>
      <w:rPr>
        <w:rFonts w:hint="default"/>
      </w:rPr>
    </w:lvl>
    <w:lvl w:ilvl="1">
      <w:start w:val="1"/>
      <w:numFmt w:val="decimal"/>
      <w:lvlText w:val="%1.%2"/>
      <w:lvlJc w:val="left"/>
      <w:pPr>
        <w:ind w:left="938" w:hanging="721"/>
        <w:jc w:val="left"/>
      </w:pPr>
      <w:rPr>
        <w:rFonts w:hint="default" w:ascii="Times New Roman" w:hAnsi="Times New Roman" w:eastAsia="Times New Roman" w:cs="Times New Roman"/>
        <w:b/>
        <w:bCs/>
        <w:spacing w:val="0"/>
        <w:w w:val="99"/>
        <w:sz w:val="20"/>
        <w:szCs w:val="20"/>
      </w:rPr>
    </w:lvl>
    <w:lvl w:ilvl="2">
      <w:start w:val="0"/>
      <w:numFmt w:val="bullet"/>
      <w:lvlText w:val="•"/>
      <w:lvlJc w:val="left"/>
      <w:pPr>
        <w:ind w:left="2832" w:hanging="721"/>
      </w:pPr>
      <w:rPr>
        <w:rFonts w:hint="default"/>
      </w:rPr>
    </w:lvl>
    <w:lvl w:ilvl="3">
      <w:start w:val="0"/>
      <w:numFmt w:val="bullet"/>
      <w:lvlText w:val="•"/>
      <w:lvlJc w:val="left"/>
      <w:pPr>
        <w:ind w:left="3778" w:hanging="721"/>
      </w:pPr>
      <w:rPr>
        <w:rFonts w:hint="default"/>
      </w:rPr>
    </w:lvl>
    <w:lvl w:ilvl="4">
      <w:start w:val="0"/>
      <w:numFmt w:val="bullet"/>
      <w:lvlText w:val="•"/>
      <w:lvlJc w:val="left"/>
      <w:pPr>
        <w:ind w:left="4724" w:hanging="721"/>
      </w:pPr>
      <w:rPr>
        <w:rFonts w:hint="default"/>
      </w:rPr>
    </w:lvl>
    <w:lvl w:ilvl="5">
      <w:start w:val="0"/>
      <w:numFmt w:val="bullet"/>
      <w:lvlText w:val="•"/>
      <w:lvlJc w:val="left"/>
      <w:pPr>
        <w:ind w:left="5670" w:hanging="721"/>
      </w:pPr>
      <w:rPr>
        <w:rFonts w:hint="default"/>
      </w:rPr>
    </w:lvl>
    <w:lvl w:ilvl="6">
      <w:start w:val="0"/>
      <w:numFmt w:val="bullet"/>
      <w:lvlText w:val="•"/>
      <w:lvlJc w:val="left"/>
      <w:pPr>
        <w:ind w:left="6616" w:hanging="721"/>
      </w:pPr>
      <w:rPr>
        <w:rFonts w:hint="default"/>
      </w:rPr>
    </w:lvl>
    <w:lvl w:ilvl="7">
      <w:start w:val="0"/>
      <w:numFmt w:val="bullet"/>
      <w:lvlText w:val="•"/>
      <w:lvlJc w:val="left"/>
      <w:pPr>
        <w:ind w:left="7562" w:hanging="721"/>
      </w:pPr>
      <w:rPr>
        <w:rFonts w:hint="default"/>
      </w:rPr>
    </w:lvl>
    <w:lvl w:ilvl="8">
      <w:start w:val="0"/>
      <w:numFmt w:val="bullet"/>
      <w:lvlText w:val="•"/>
      <w:lvlJc w:val="left"/>
      <w:pPr>
        <w:ind w:left="8508" w:hanging="721"/>
      </w:pPr>
      <w:rPr>
        <w:rFonts w:hint="default"/>
      </w:rPr>
    </w:lvl>
  </w:abstractNum>
  <w:abstractNum w:abstractNumId="5">
    <w:multiLevelType w:val="hybridMultilevel"/>
    <w:lvl w:ilvl="0">
      <w:start w:val="7"/>
      <w:numFmt w:val="decimal"/>
      <w:lvlText w:val="%1"/>
      <w:lvlJc w:val="left"/>
      <w:pPr>
        <w:ind w:left="938" w:hanging="721"/>
        <w:jc w:val="left"/>
      </w:pPr>
      <w:rPr>
        <w:rFonts w:hint="default"/>
      </w:rPr>
    </w:lvl>
    <w:lvl w:ilvl="1">
      <w:start w:val="1"/>
      <w:numFmt w:val="decimal"/>
      <w:lvlText w:val="%1.%2"/>
      <w:lvlJc w:val="left"/>
      <w:pPr>
        <w:ind w:left="938" w:hanging="721"/>
        <w:jc w:val="left"/>
      </w:pPr>
      <w:rPr>
        <w:rFonts w:hint="default" w:ascii="Times New Roman" w:hAnsi="Times New Roman" w:eastAsia="Times New Roman" w:cs="Times New Roman"/>
        <w:b/>
        <w:bCs/>
        <w:spacing w:val="0"/>
        <w:w w:val="99"/>
        <w:sz w:val="20"/>
        <w:szCs w:val="20"/>
      </w:rPr>
    </w:lvl>
    <w:lvl w:ilvl="2">
      <w:start w:val="0"/>
      <w:numFmt w:val="bullet"/>
      <w:lvlText w:val="•"/>
      <w:lvlJc w:val="left"/>
      <w:pPr>
        <w:ind w:left="2832" w:hanging="721"/>
      </w:pPr>
      <w:rPr>
        <w:rFonts w:hint="default"/>
      </w:rPr>
    </w:lvl>
    <w:lvl w:ilvl="3">
      <w:start w:val="0"/>
      <w:numFmt w:val="bullet"/>
      <w:lvlText w:val="•"/>
      <w:lvlJc w:val="left"/>
      <w:pPr>
        <w:ind w:left="3778" w:hanging="721"/>
      </w:pPr>
      <w:rPr>
        <w:rFonts w:hint="default"/>
      </w:rPr>
    </w:lvl>
    <w:lvl w:ilvl="4">
      <w:start w:val="0"/>
      <w:numFmt w:val="bullet"/>
      <w:lvlText w:val="•"/>
      <w:lvlJc w:val="left"/>
      <w:pPr>
        <w:ind w:left="4724" w:hanging="721"/>
      </w:pPr>
      <w:rPr>
        <w:rFonts w:hint="default"/>
      </w:rPr>
    </w:lvl>
    <w:lvl w:ilvl="5">
      <w:start w:val="0"/>
      <w:numFmt w:val="bullet"/>
      <w:lvlText w:val="•"/>
      <w:lvlJc w:val="left"/>
      <w:pPr>
        <w:ind w:left="5670" w:hanging="721"/>
      </w:pPr>
      <w:rPr>
        <w:rFonts w:hint="default"/>
      </w:rPr>
    </w:lvl>
    <w:lvl w:ilvl="6">
      <w:start w:val="0"/>
      <w:numFmt w:val="bullet"/>
      <w:lvlText w:val="•"/>
      <w:lvlJc w:val="left"/>
      <w:pPr>
        <w:ind w:left="6616" w:hanging="721"/>
      </w:pPr>
      <w:rPr>
        <w:rFonts w:hint="default"/>
      </w:rPr>
    </w:lvl>
    <w:lvl w:ilvl="7">
      <w:start w:val="0"/>
      <w:numFmt w:val="bullet"/>
      <w:lvlText w:val="•"/>
      <w:lvlJc w:val="left"/>
      <w:pPr>
        <w:ind w:left="7562" w:hanging="721"/>
      </w:pPr>
      <w:rPr>
        <w:rFonts w:hint="default"/>
      </w:rPr>
    </w:lvl>
    <w:lvl w:ilvl="8">
      <w:start w:val="0"/>
      <w:numFmt w:val="bullet"/>
      <w:lvlText w:val="•"/>
      <w:lvlJc w:val="left"/>
      <w:pPr>
        <w:ind w:left="8508" w:hanging="721"/>
      </w:pPr>
      <w:rPr>
        <w:rFonts w:hint="default"/>
      </w:rPr>
    </w:lvl>
  </w:abstractNum>
  <w:abstractNum w:abstractNumId="4">
    <w:multiLevelType w:val="hybridMultilevel"/>
    <w:lvl w:ilvl="0">
      <w:start w:val="6"/>
      <w:numFmt w:val="decimal"/>
      <w:lvlText w:val="%1"/>
      <w:lvlJc w:val="left"/>
      <w:pPr>
        <w:ind w:left="938" w:hanging="721"/>
        <w:jc w:val="left"/>
      </w:pPr>
      <w:rPr>
        <w:rFonts w:hint="default"/>
      </w:rPr>
    </w:lvl>
    <w:lvl w:ilvl="1">
      <w:start w:val="1"/>
      <w:numFmt w:val="decimal"/>
      <w:lvlText w:val="%1.%2"/>
      <w:lvlJc w:val="left"/>
      <w:pPr>
        <w:ind w:left="938" w:hanging="721"/>
        <w:jc w:val="left"/>
      </w:pPr>
      <w:rPr>
        <w:rFonts w:hint="default" w:ascii="Times New Roman" w:hAnsi="Times New Roman" w:eastAsia="Times New Roman" w:cs="Times New Roman"/>
        <w:b/>
        <w:bCs/>
        <w:spacing w:val="0"/>
        <w:w w:val="99"/>
        <w:sz w:val="20"/>
        <w:szCs w:val="20"/>
      </w:rPr>
    </w:lvl>
    <w:lvl w:ilvl="2">
      <w:start w:val="0"/>
      <w:numFmt w:val="bullet"/>
      <w:lvlText w:val="•"/>
      <w:lvlJc w:val="left"/>
      <w:pPr>
        <w:ind w:left="2832" w:hanging="721"/>
      </w:pPr>
      <w:rPr>
        <w:rFonts w:hint="default"/>
      </w:rPr>
    </w:lvl>
    <w:lvl w:ilvl="3">
      <w:start w:val="0"/>
      <w:numFmt w:val="bullet"/>
      <w:lvlText w:val="•"/>
      <w:lvlJc w:val="left"/>
      <w:pPr>
        <w:ind w:left="3778" w:hanging="721"/>
      </w:pPr>
      <w:rPr>
        <w:rFonts w:hint="default"/>
      </w:rPr>
    </w:lvl>
    <w:lvl w:ilvl="4">
      <w:start w:val="0"/>
      <w:numFmt w:val="bullet"/>
      <w:lvlText w:val="•"/>
      <w:lvlJc w:val="left"/>
      <w:pPr>
        <w:ind w:left="4724" w:hanging="721"/>
      </w:pPr>
      <w:rPr>
        <w:rFonts w:hint="default"/>
      </w:rPr>
    </w:lvl>
    <w:lvl w:ilvl="5">
      <w:start w:val="0"/>
      <w:numFmt w:val="bullet"/>
      <w:lvlText w:val="•"/>
      <w:lvlJc w:val="left"/>
      <w:pPr>
        <w:ind w:left="5670" w:hanging="721"/>
      </w:pPr>
      <w:rPr>
        <w:rFonts w:hint="default"/>
      </w:rPr>
    </w:lvl>
    <w:lvl w:ilvl="6">
      <w:start w:val="0"/>
      <w:numFmt w:val="bullet"/>
      <w:lvlText w:val="•"/>
      <w:lvlJc w:val="left"/>
      <w:pPr>
        <w:ind w:left="6616" w:hanging="721"/>
      </w:pPr>
      <w:rPr>
        <w:rFonts w:hint="default"/>
      </w:rPr>
    </w:lvl>
    <w:lvl w:ilvl="7">
      <w:start w:val="0"/>
      <w:numFmt w:val="bullet"/>
      <w:lvlText w:val="•"/>
      <w:lvlJc w:val="left"/>
      <w:pPr>
        <w:ind w:left="7562" w:hanging="721"/>
      </w:pPr>
      <w:rPr>
        <w:rFonts w:hint="default"/>
      </w:rPr>
    </w:lvl>
    <w:lvl w:ilvl="8">
      <w:start w:val="0"/>
      <w:numFmt w:val="bullet"/>
      <w:lvlText w:val="•"/>
      <w:lvlJc w:val="left"/>
      <w:pPr>
        <w:ind w:left="8508" w:hanging="721"/>
      </w:pPr>
      <w:rPr>
        <w:rFonts w:hint="default"/>
      </w:rPr>
    </w:lvl>
  </w:abstractNum>
  <w:abstractNum w:abstractNumId="3">
    <w:multiLevelType w:val="hybridMultilevel"/>
    <w:lvl w:ilvl="0">
      <w:start w:val="5"/>
      <w:numFmt w:val="decimal"/>
      <w:lvlText w:val="%1"/>
      <w:lvlJc w:val="left"/>
      <w:pPr>
        <w:ind w:left="938" w:hanging="721"/>
        <w:jc w:val="left"/>
      </w:pPr>
      <w:rPr>
        <w:rFonts w:hint="default"/>
      </w:rPr>
    </w:lvl>
    <w:lvl w:ilvl="1">
      <w:start w:val="1"/>
      <w:numFmt w:val="decimal"/>
      <w:lvlText w:val="%1.%2"/>
      <w:lvlJc w:val="left"/>
      <w:pPr>
        <w:ind w:left="938" w:hanging="721"/>
        <w:jc w:val="left"/>
      </w:pPr>
      <w:rPr>
        <w:rFonts w:hint="default" w:ascii="Times New Roman" w:hAnsi="Times New Roman" w:eastAsia="Times New Roman" w:cs="Times New Roman"/>
        <w:b/>
        <w:bCs/>
        <w:spacing w:val="0"/>
        <w:w w:val="99"/>
        <w:sz w:val="20"/>
        <w:szCs w:val="20"/>
      </w:rPr>
    </w:lvl>
    <w:lvl w:ilvl="2">
      <w:start w:val="0"/>
      <w:numFmt w:val="bullet"/>
      <w:lvlText w:val="•"/>
      <w:lvlJc w:val="left"/>
      <w:pPr>
        <w:ind w:left="2832" w:hanging="721"/>
      </w:pPr>
      <w:rPr>
        <w:rFonts w:hint="default"/>
      </w:rPr>
    </w:lvl>
    <w:lvl w:ilvl="3">
      <w:start w:val="0"/>
      <w:numFmt w:val="bullet"/>
      <w:lvlText w:val="•"/>
      <w:lvlJc w:val="left"/>
      <w:pPr>
        <w:ind w:left="3778" w:hanging="721"/>
      </w:pPr>
      <w:rPr>
        <w:rFonts w:hint="default"/>
      </w:rPr>
    </w:lvl>
    <w:lvl w:ilvl="4">
      <w:start w:val="0"/>
      <w:numFmt w:val="bullet"/>
      <w:lvlText w:val="•"/>
      <w:lvlJc w:val="left"/>
      <w:pPr>
        <w:ind w:left="4724" w:hanging="721"/>
      </w:pPr>
      <w:rPr>
        <w:rFonts w:hint="default"/>
      </w:rPr>
    </w:lvl>
    <w:lvl w:ilvl="5">
      <w:start w:val="0"/>
      <w:numFmt w:val="bullet"/>
      <w:lvlText w:val="•"/>
      <w:lvlJc w:val="left"/>
      <w:pPr>
        <w:ind w:left="5670" w:hanging="721"/>
      </w:pPr>
      <w:rPr>
        <w:rFonts w:hint="default"/>
      </w:rPr>
    </w:lvl>
    <w:lvl w:ilvl="6">
      <w:start w:val="0"/>
      <w:numFmt w:val="bullet"/>
      <w:lvlText w:val="•"/>
      <w:lvlJc w:val="left"/>
      <w:pPr>
        <w:ind w:left="6616" w:hanging="721"/>
      </w:pPr>
      <w:rPr>
        <w:rFonts w:hint="default"/>
      </w:rPr>
    </w:lvl>
    <w:lvl w:ilvl="7">
      <w:start w:val="0"/>
      <w:numFmt w:val="bullet"/>
      <w:lvlText w:val="•"/>
      <w:lvlJc w:val="left"/>
      <w:pPr>
        <w:ind w:left="7562" w:hanging="721"/>
      </w:pPr>
      <w:rPr>
        <w:rFonts w:hint="default"/>
      </w:rPr>
    </w:lvl>
    <w:lvl w:ilvl="8">
      <w:start w:val="0"/>
      <w:numFmt w:val="bullet"/>
      <w:lvlText w:val="•"/>
      <w:lvlJc w:val="left"/>
      <w:pPr>
        <w:ind w:left="8508" w:hanging="721"/>
      </w:pPr>
      <w:rPr>
        <w:rFonts w:hint="default"/>
      </w:rPr>
    </w:lvl>
  </w:abstractNum>
  <w:abstractNum w:abstractNumId="2">
    <w:multiLevelType w:val="hybridMultilevel"/>
    <w:lvl w:ilvl="0">
      <w:start w:val="4"/>
      <w:numFmt w:val="decimal"/>
      <w:lvlText w:val="%1"/>
      <w:lvlJc w:val="left"/>
      <w:pPr>
        <w:ind w:left="938" w:hanging="721"/>
        <w:jc w:val="left"/>
      </w:pPr>
      <w:rPr>
        <w:rFonts w:hint="default"/>
      </w:rPr>
    </w:lvl>
    <w:lvl w:ilvl="1">
      <w:start w:val="1"/>
      <w:numFmt w:val="decimal"/>
      <w:lvlText w:val="%1.%2"/>
      <w:lvlJc w:val="left"/>
      <w:pPr>
        <w:ind w:left="938" w:hanging="721"/>
        <w:jc w:val="left"/>
      </w:pPr>
      <w:rPr>
        <w:rFonts w:hint="default" w:ascii="Times New Roman" w:hAnsi="Times New Roman" w:eastAsia="Times New Roman" w:cs="Times New Roman"/>
        <w:b/>
        <w:bCs/>
        <w:spacing w:val="0"/>
        <w:w w:val="99"/>
        <w:sz w:val="20"/>
        <w:szCs w:val="20"/>
      </w:rPr>
    </w:lvl>
    <w:lvl w:ilvl="2">
      <w:start w:val="0"/>
      <w:numFmt w:val="bullet"/>
      <w:lvlText w:val="•"/>
      <w:lvlJc w:val="left"/>
      <w:pPr>
        <w:ind w:left="2832" w:hanging="721"/>
      </w:pPr>
      <w:rPr>
        <w:rFonts w:hint="default"/>
      </w:rPr>
    </w:lvl>
    <w:lvl w:ilvl="3">
      <w:start w:val="0"/>
      <w:numFmt w:val="bullet"/>
      <w:lvlText w:val="•"/>
      <w:lvlJc w:val="left"/>
      <w:pPr>
        <w:ind w:left="3778" w:hanging="721"/>
      </w:pPr>
      <w:rPr>
        <w:rFonts w:hint="default"/>
      </w:rPr>
    </w:lvl>
    <w:lvl w:ilvl="4">
      <w:start w:val="0"/>
      <w:numFmt w:val="bullet"/>
      <w:lvlText w:val="•"/>
      <w:lvlJc w:val="left"/>
      <w:pPr>
        <w:ind w:left="4724" w:hanging="721"/>
      </w:pPr>
      <w:rPr>
        <w:rFonts w:hint="default"/>
      </w:rPr>
    </w:lvl>
    <w:lvl w:ilvl="5">
      <w:start w:val="0"/>
      <w:numFmt w:val="bullet"/>
      <w:lvlText w:val="•"/>
      <w:lvlJc w:val="left"/>
      <w:pPr>
        <w:ind w:left="5670" w:hanging="721"/>
      </w:pPr>
      <w:rPr>
        <w:rFonts w:hint="default"/>
      </w:rPr>
    </w:lvl>
    <w:lvl w:ilvl="6">
      <w:start w:val="0"/>
      <w:numFmt w:val="bullet"/>
      <w:lvlText w:val="•"/>
      <w:lvlJc w:val="left"/>
      <w:pPr>
        <w:ind w:left="6616" w:hanging="721"/>
      </w:pPr>
      <w:rPr>
        <w:rFonts w:hint="default"/>
      </w:rPr>
    </w:lvl>
    <w:lvl w:ilvl="7">
      <w:start w:val="0"/>
      <w:numFmt w:val="bullet"/>
      <w:lvlText w:val="•"/>
      <w:lvlJc w:val="left"/>
      <w:pPr>
        <w:ind w:left="7562" w:hanging="721"/>
      </w:pPr>
      <w:rPr>
        <w:rFonts w:hint="default"/>
      </w:rPr>
    </w:lvl>
    <w:lvl w:ilvl="8">
      <w:start w:val="0"/>
      <w:numFmt w:val="bullet"/>
      <w:lvlText w:val="•"/>
      <w:lvlJc w:val="left"/>
      <w:pPr>
        <w:ind w:left="8508" w:hanging="721"/>
      </w:pPr>
      <w:rPr>
        <w:rFonts w:hint="default"/>
      </w:rPr>
    </w:lvl>
  </w:abstractNum>
  <w:abstractNum w:abstractNumId="1">
    <w:multiLevelType w:val="hybridMultilevel"/>
    <w:lvl w:ilvl="0">
      <w:start w:val="2"/>
      <w:numFmt w:val="decimal"/>
      <w:lvlText w:val="%1"/>
      <w:lvlJc w:val="left"/>
      <w:pPr>
        <w:ind w:left="1538" w:hanging="721"/>
        <w:jc w:val="left"/>
      </w:pPr>
      <w:rPr>
        <w:rFonts w:hint="default"/>
      </w:rPr>
    </w:lvl>
    <w:lvl w:ilvl="1">
      <w:start w:val="1"/>
      <w:numFmt w:val="decimal"/>
      <w:lvlText w:val="%1.%2"/>
      <w:lvlJc w:val="left"/>
      <w:pPr>
        <w:ind w:left="1538" w:hanging="721"/>
        <w:jc w:val="left"/>
      </w:pPr>
      <w:rPr>
        <w:rFonts w:hint="default" w:ascii="Times New Roman" w:hAnsi="Times New Roman" w:eastAsia="Times New Roman" w:cs="Times New Roman"/>
        <w:b/>
        <w:bCs/>
        <w:spacing w:val="0"/>
        <w:w w:val="99"/>
        <w:sz w:val="20"/>
        <w:szCs w:val="20"/>
      </w:rPr>
    </w:lvl>
    <w:lvl w:ilvl="2">
      <w:start w:val="0"/>
      <w:numFmt w:val="bullet"/>
      <w:lvlText w:val="•"/>
      <w:lvlJc w:val="left"/>
      <w:pPr>
        <w:ind w:left="3540" w:hanging="721"/>
      </w:pPr>
      <w:rPr>
        <w:rFonts w:hint="default"/>
      </w:rPr>
    </w:lvl>
    <w:lvl w:ilvl="3">
      <w:start w:val="0"/>
      <w:numFmt w:val="bullet"/>
      <w:lvlText w:val="•"/>
      <w:lvlJc w:val="left"/>
      <w:pPr>
        <w:ind w:left="4540" w:hanging="721"/>
      </w:pPr>
      <w:rPr>
        <w:rFonts w:hint="default"/>
      </w:rPr>
    </w:lvl>
    <w:lvl w:ilvl="4">
      <w:start w:val="0"/>
      <w:numFmt w:val="bullet"/>
      <w:lvlText w:val="•"/>
      <w:lvlJc w:val="left"/>
      <w:pPr>
        <w:ind w:left="5540" w:hanging="721"/>
      </w:pPr>
      <w:rPr>
        <w:rFonts w:hint="default"/>
      </w:rPr>
    </w:lvl>
    <w:lvl w:ilvl="5">
      <w:start w:val="0"/>
      <w:numFmt w:val="bullet"/>
      <w:lvlText w:val="•"/>
      <w:lvlJc w:val="left"/>
      <w:pPr>
        <w:ind w:left="6540" w:hanging="721"/>
      </w:pPr>
      <w:rPr>
        <w:rFonts w:hint="default"/>
      </w:rPr>
    </w:lvl>
    <w:lvl w:ilvl="6">
      <w:start w:val="0"/>
      <w:numFmt w:val="bullet"/>
      <w:lvlText w:val="•"/>
      <w:lvlJc w:val="left"/>
      <w:pPr>
        <w:ind w:left="7540" w:hanging="721"/>
      </w:pPr>
      <w:rPr>
        <w:rFonts w:hint="default"/>
      </w:rPr>
    </w:lvl>
    <w:lvl w:ilvl="7">
      <w:start w:val="0"/>
      <w:numFmt w:val="bullet"/>
      <w:lvlText w:val="•"/>
      <w:lvlJc w:val="left"/>
      <w:pPr>
        <w:ind w:left="8540" w:hanging="721"/>
      </w:pPr>
      <w:rPr>
        <w:rFonts w:hint="default"/>
      </w:rPr>
    </w:lvl>
    <w:lvl w:ilvl="8">
      <w:start w:val="0"/>
      <w:numFmt w:val="bullet"/>
      <w:lvlText w:val="•"/>
      <w:lvlJc w:val="left"/>
      <w:pPr>
        <w:ind w:left="9540" w:hanging="721"/>
      </w:pPr>
      <w:rPr>
        <w:rFonts w:hint="default"/>
      </w:rPr>
    </w:lvl>
  </w:abstractNum>
  <w:abstractNum w:abstractNumId="0">
    <w:multiLevelType w:val="hybridMultilevel"/>
    <w:lvl w:ilvl="0">
      <w:start w:val="1"/>
      <w:numFmt w:val="decimal"/>
      <w:lvlText w:val="%1"/>
      <w:lvlJc w:val="left"/>
      <w:pPr>
        <w:ind w:left="1538" w:hanging="721"/>
        <w:jc w:val="left"/>
      </w:pPr>
      <w:rPr>
        <w:rFonts w:hint="default"/>
      </w:rPr>
    </w:lvl>
    <w:lvl w:ilvl="1">
      <w:start w:val="1"/>
      <w:numFmt w:val="decimal"/>
      <w:lvlText w:val="%1.%2"/>
      <w:lvlJc w:val="left"/>
      <w:pPr>
        <w:ind w:left="1538" w:hanging="721"/>
        <w:jc w:val="left"/>
      </w:pPr>
      <w:rPr>
        <w:rFonts w:hint="default" w:ascii="Times New Roman" w:hAnsi="Times New Roman" w:eastAsia="Times New Roman" w:cs="Times New Roman"/>
        <w:b/>
        <w:bCs/>
        <w:spacing w:val="0"/>
        <w:w w:val="99"/>
        <w:sz w:val="20"/>
        <w:szCs w:val="20"/>
      </w:rPr>
    </w:lvl>
    <w:lvl w:ilvl="2">
      <w:start w:val="0"/>
      <w:numFmt w:val="bullet"/>
      <w:lvlText w:val="•"/>
      <w:lvlJc w:val="left"/>
      <w:pPr>
        <w:ind w:left="3540" w:hanging="721"/>
      </w:pPr>
      <w:rPr>
        <w:rFonts w:hint="default"/>
      </w:rPr>
    </w:lvl>
    <w:lvl w:ilvl="3">
      <w:start w:val="0"/>
      <w:numFmt w:val="bullet"/>
      <w:lvlText w:val="•"/>
      <w:lvlJc w:val="left"/>
      <w:pPr>
        <w:ind w:left="4540" w:hanging="721"/>
      </w:pPr>
      <w:rPr>
        <w:rFonts w:hint="default"/>
      </w:rPr>
    </w:lvl>
    <w:lvl w:ilvl="4">
      <w:start w:val="0"/>
      <w:numFmt w:val="bullet"/>
      <w:lvlText w:val="•"/>
      <w:lvlJc w:val="left"/>
      <w:pPr>
        <w:ind w:left="5540" w:hanging="721"/>
      </w:pPr>
      <w:rPr>
        <w:rFonts w:hint="default"/>
      </w:rPr>
    </w:lvl>
    <w:lvl w:ilvl="5">
      <w:start w:val="0"/>
      <w:numFmt w:val="bullet"/>
      <w:lvlText w:val="•"/>
      <w:lvlJc w:val="left"/>
      <w:pPr>
        <w:ind w:left="6540" w:hanging="721"/>
      </w:pPr>
      <w:rPr>
        <w:rFonts w:hint="default"/>
      </w:rPr>
    </w:lvl>
    <w:lvl w:ilvl="6">
      <w:start w:val="0"/>
      <w:numFmt w:val="bullet"/>
      <w:lvlText w:val="•"/>
      <w:lvlJc w:val="left"/>
      <w:pPr>
        <w:ind w:left="7540" w:hanging="721"/>
      </w:pPr>
      <w:rPr>
        <w:rFonts w:hint="default"/>
      </w:rPr>
    </w:lvl>
    <w:lvl w:ilvl="7">
      <w:start w:val="0"/>
      <w:numFmt w:val="bullet"/>
      <w:lvlText w:val="•"/>
      <w:lvlJc w:val="left"/>
      <w:pPr>
        <w:ind w:left="8540" w:hanging="721"/>
      </w:pPr>
      <w:rPr>
        <w:rFonts w:hint="default"/>
      </w:rPr>
    </w:lvl>
    <w:lvl w:ilvl="8">
      <w:start w:val="0"/>
      <w:numFmt w:val="bullet"/>
      <w:lvlText w:val="•"/>
      <w:lvlJc w:val="left"/>
      <w:pPr>
        <w:ind w:left="9540" w:hanging="721"/>
      </w:pPr>
      <w:rPr>
        <w:rFonts w:hint="default"/>
      </w:rPr>
    </w:lvl>
  </w:abstract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rPr>
  </w:style>
  <w:style w:styleId="BodyText" w:type="paragraph">
    <w:name w:val="Body Text"/>
    <w:basedOn w:val="Normal"/>
    <w:uiPriority w:val="1"/>
    <w:qFormat/>
    <w:pPr/>
    <w:rPr>
      <w:rFonts w:ascii="Times New Roman" w:hAnsi="Times New Roman" w:eastAsia="Times New Roman" w:cs="Times New Roman"/>
      <w:sz w:val="20"/>
      <w:szCs w:val="20"/>
    </w:rPr>
  </w:style>
  <w:style w:styleId="Heading1" w:type="paragraph">
    <w:name w:val="Heading 1"/>
    <w:basedOn w:val="Normal"/>
    <w:uiPriority w:val="1"/>
    <w:qFormat/>
    <w:pPr>
      <w:ind w:left="938" w:hanging="721"/>
      <w:outlineLvl w:val="1"/>
    </w:pPr>
    <w:rPr>
      <w:rFonts w:ascii="Times New Roman" w:hAnsi="Times New Roman" w:eastAsia="Times New Roman" w:cs="Times New Roman"/>
      <w:b/>
      <w:bCs/>
      <w:sz w:val="20"/>
      <w:szCs w:val="20"/>
    </w:rPr>
  </w:style>
  <w:style w:styleId="ListParagraph" w:type="paragraph">
    <w:name w:val="List Paragraph"/>
    <w:basedOn w:val="Normal"/>
    <w:uiPriority w:val="1"/>
    <w:qFormat/>
    <w:pPr>
      <w:ind w:left="938" w:hanging="721"/>
    </w:pPr>
    <w:rPr>
      <w:rFonts w:ascii="Times New Roman" w:hAnsi="Times New Roman" w:eastAsia="Times New Roman" w:cs="Times New Roman"/>
    </w:rPr>
  </w:style>
  <w:style w:styleId="TableParagraph" w:type="paragraph">
    <w:name w:val="Table Paragraph"/>
    <w:basedOn w:val="Normal"/>
    <w:uiPriority w:val="1"/>
    <w:qFormat/>
    <w:pPr>
      <w:spacing w:line="223" w:lineRule="exact"/>
      <w:ind w:left="103"/>
    </w:pPr>
    <w:rPr>
      <w:rFonts w:ascii="Times New Roman" w:hAnsi="Times New Roman" w:eastAsia="Times New Roman" w:cs="Times New Roma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footer" Target="footer1.xml"/><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Marta Koziol</dc:creator>
  <dcterms:created xsi:type="dcterms:W3CDTF">2021-04-19T16:22:43Z</dcterms:created>
  <dcterms:modified xsi:type="dcterms:W3CDTF">2021-04-19T16:22:43Z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2014-12-03T00:00:00Z</vt:filetime>
  </property>
  <property fmtid="{D5CDD505-2E9C-101B-9397-08002B2CF9AE}" pid="3" name="Creator">
    <vt:lpwstr>Microsoft® Word 2010</vt:lpwstr>
  </property>
  <property fmtid="{D5CDD505-2E9C-101B-9397-08002B2CF9AE}" pid="4" name="LastSaved">
    <vt:filetime>2021-04-19T00:00:00Z</vt:filetime>
  </property>
</Properties>
</file>